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3CD529A4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</w:t>
      </w:r>
      <w:r w:rsidR="00757461">
        <w:rPr>
          <w:rFonts w:ascii="Garamond" w:eastAsia="Times New Roman" w:hAnsi="Garamond" w:cs="Times New Roman"/>
          <w:b/>
          <w:color w:val="000000"/>
          <w:sz w:val="32"/>
          <w:szCs w:val="32"/>
        </w:rPr>
        <w:t>2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3194FCD5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 ЕКОЛОГИЧНА ОЦЕНКА</w:t>
      </w:r>
    </w:p>
    <w:p w14:paraId="3BB43BA4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7EF8954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1.21.2.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ab/>
      </w:r>
      <w:proofErr w:type="spellStart"/>
      <w:r w:rsidRPr="00757461">
        <w:rPr>
          <w:rFonts w:ascii="Garamond" w:eastAsia="Calibri" w:hAnsi="Garamond" w:cs="Times New Roman"/>
          <w:b/>
          <w:sz w:val="24"/>
          <w:lang w:eastAsia="bg-BG"/>
        </w:rPr>
        <w:t>Рядкост</w:t>
      </w:r>
      <w:proofErr w:type="spellEnd"/>
    </w:p>
    <w:p w14:paraId="7945DB25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94C8D75" w14:textId="77777777" w:rsidR="00D0443C" w:rsidRPr="0091774D" w:rsidRDefault="00D0443C" w:rsidP="00D044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ниска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средна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висока</w:t>
      </w:r>
    </w:p>
    <w:p w14:paraId="08DBC8FA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72B9E1E1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231EC711" w14:textId="3B74574C" w:rsidR="007B63B9" w:rsidRDefault="00757461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 xml:space="preserve">В зависимост от спецификата на </w:t>
      </w:r>
      <w:proofErr w:type="spellStart"/>
      <w:r w:rsidRPr="00757461">
        <w:rPr>
          <w:rFonts w:ascii="Garamond" w:eastAsia="Calibri" w:hAnsi="Garamond" w:cs="Times New Roman"/>
          <w:b/>
          <w:sz w:val="24"/>
          <w:lang w:eastAsia="bg-BG"/>
        </w:rPr>
        <w:t>абиотични</w:t>
      </w:r>
      <w:proofErr w:type="spellEnd"/>
      <w:r w:rsidRPr="00757461">
        <w:rPr>
          <w:rFonts w:ascii="Garamond" w:eastAsia="Calibri" w:hAnsi="Garamond" w:cs="Times New Roman"/>
          <w:b/>
          <w:sz w:val="24"/>
          <w:lang w:eastAsia="bg-BG"/>
        </w:rPr>
        <w:t xml:space="preserve"> и биотични елементи в Парка спрямо такава в национален или международен мащаб</w:t>
      </w:r>
    </w:p>
    <w:p w14:paraId="6999C832" w14:textId="77777777" w:rsidR="00757461" w:rsidRPr="007B63B9" w:rsidRDefault="00757461" w:rsidP="007B63B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FD448A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7B63B9" w:rsidRPr="00FD448A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91774D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1A420B6" w14:textId="77777777" w:rsidR="007B63B9" w:rsidRPr="00FD448A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464436BE" w:rsidR="007B63B9" w:rsidRPr="00FD448A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448A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7B3" w14:textId="572EDC40" w:rsidR="007B63B9" w:rsidRPr="00FD448A" w:rsidRDefault="00757461" w:rsidP="00757461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С най-голяма рядкост от представените природни местообитания са 40A0*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Субконтинентални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пери-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храстови съобщества, 6250</w:t>
            </w:r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*</w:t>
            </w:r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льосови степни тревни съобщества, 7220</w:t>
            </w:r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*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Извори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 с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твърда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вода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 с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туфести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формации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Cratoneurion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)</w:t>
            </w:r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, 91</w:t>
            </w:r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G</w:t>
            </w:r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0</w:t>
            </w:r>
            <w:r w:rsidRPr="00C56EAE">
              <w:rPr>
                <w:rFonts w:ascii="Garamond" w:eastAsia="Calibri" w:hAnsi="Garamond" w:cs="Times New Roman"/>
                <w:sz w:val="24"/>
                <w:lang w:val="en-US" w:eastAsia="bg-BG"/>
              </w:rPr>
              <w:t>*</w:t>
            </w:r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гори с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Quercus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petrea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и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Carpinus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betulus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lang w:eastAsia="bg-BG"/>
              </w:rPr>
              <w:t>. И четирите типа местообитания са с ограничено разпространение в национален мащаб и затова опазването им на територията на ПП "Русенски Лом" и ЗЗ Ломовете от важно значение.</w:t>
            </w:r>
          </w:p>
        </w:tc>
      </w:tr>
      <w:tr w:rsidR="007B63B9" w:rsidRPr="00FD448A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03092996" w:rsidR="007B63B9" w:rsidRPr="00FD448A" w:rsidRDefault="00FD448A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F07491" w14:textId="304B6666" w:rsidR="00FD448A" w:rsidRDefault="00FD448A" w:rsidP="007B63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31316C98" w14:textId="57A4129F" w:rsidR="007B63B9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0DF0710F" w:rsidR="007B63B9" w:rsidRPr="00FD448A" w:rsidRDefault="00757461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Като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изключително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рядък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може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да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се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определи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видът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Сибирска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телчарка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,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чието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единствено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находище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на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Балканите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и в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страната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е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на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територията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на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природния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парк.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Това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само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по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себе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си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го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прави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уникален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в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национален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 xml:space="preserve">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мащаб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lang w:val="en-US"/>
              </w:rPr>
              <w:t>.</w:t>
            </w:r>
          </w:p>
        </w:tc>
      </w:tr>
      <w:tr w:rsidR="00550F00" w:rsidRPr="00FD448A" w14:paraId="6DBB237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D70" w14:textId="16882F0B" w:rsidR="00550F00" w:rsidRPr="00FD448A" w:rsidRDefault="00757461" w:rsidP="00550F0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FD448A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27515" w14:textId="77777777" w:rsidR="00FD448A" w:rsidRDefault="00FD448A" w:rsidP="00FD4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6390268B" w14:textId="39A275FB" w:rsidR="00550F00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F0F7" w14:textId="77777777" w:rsidR="00757461" w:rsidRPr="00757461" w:rsidRDefault="00757461" w:rsidP="00757461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Като рядкост при животните може да се разглежда съчетаването на изключително разнообразни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фаунистични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комплекси върху малка територия. </w:t>
            </w:r>
          </w:p>
          <w:p w14:paraId="7D5E2219" w14:textId="77777777" w:rsidR="00757461" w:rsidRPr="00757461" w:rsidRDefault="00757461" w:rsidP="00757461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В съседство с парка се намират три пещери (Орлова чука,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Гъбарника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и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Зоровица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), класифицирани като подземни местообитания на прилепи с международно значение по критериите на EURO BATS. Пещерата Орлова чука е най-значимото зимно убежище в България и на Балканския полуостров за два вида прилепи –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подковонос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на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Мехели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и южен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подковонос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. </w:t>
            </w:r>
          </w:p>
          <w:p w14:paraId="2C239FED" w14:textId="1F4F0847" w:rsidR="00550F00" w:rsidRPr="00FD448A" w:rsidRDefault="00757461" w:rsidP="00757461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Предвид спецификата на </w:t>
            </w:r>
            <w:proofErr w:type="spellStart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>абиотични</w:t>
            </w:r>
            <w:proofErr w:type="spellEnd"/>
            <w:r w:rsidRPr="00757461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и биотични елементи на парка, висока степен на рядкост на таксономично ниво вид може да се очаква и при безгръбначните животни.</w:t>
            </w:r>
          </w:p>
        </w:tc>
      </w:tr>
    </w:tbl>
    <w:p w14:paraId="118E83BA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356DB486" w14:textId="77777777" w:rsidR="007B63B9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05A835" w14:textId="77777777" w:rsidR="00D0443C" w:rsidRDefault="00D0443C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12F0D8" w14:textId="77777777" w:rsidR="00D0443C" w:rsidRDefault="00D0443C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AE3E0D" w14:textId="77777777" w:rsidR="00D0443C" w:rsidRDefault="00D0443C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98F394F" w14:textId="77777777" w:rsidR="00D0443C" w:rsidRPr="007B63B9" w:rsidRDefault="00D0443C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B343FB" w14:textId="2BB34E20" w:rsidR="007B63B9" w:rsidRPr="00D0443C" w:rsidRDefault="00D0443C" w:rsidP="00D044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D0443C">
        <w:rPr>
          <w:rFonts w:ascii="Garamond" w:eastAsia="Calibri" w:hAnsi="Garamond" w:cs="Times New Roman"/>
          <w:b/>
          <w:sz w:val="24"/>
          <w:lang w:eastAsia="bg-BG"/>
        </w:rPr>
        <w:t xml:space="preserve">Редки, </w:t>
      </w:r>
      <w:proofErr w:type="spellStart"/>
      <w:r w:rsidRPr="00D0443C">
        <w:rPr>
          <w:rFonts w:ascii="Garamond" w:eastAsia="Calibri" w:hAnsi="Garamond" w:cs="Times New Roman"/>
          <w:b/>
          <w:sz w:val="24"/>
          <w:lang w:eastAsia="bg-BG"/>
        </w:rPr>
        <w:t>реликтни</w:t>
      </w:r>
      <w:proofErr w:type="spellEnd"/>
      <w:r w:rsidRPr="00D0443C">
        <w:rPr>
          <w:rFonts w:ascii="Garamond" w:eastAsia="Calibri" w:hAnsi="Garamond" w:cs="Times New Roman"/>
          <w:b/>
          <w:sz w:val="24"/>
          <w:lang w:eastAsia="bg-BG"/>
        </w:rPr>
        <w:t xml:space="preserve">, </w:t>
      </w:r>
      <w:proofErr w:type="spellStart"/>
      <w:r w:rsidRPr="00D0443C">
        <w:rPr>
          <w:rFonts w:ascii="Garamond" w:eastAsia="Calibri" w:hAnsi="Garamond" w:cs="Times New Roman"/>
          <w:b/>
          <w:sz w:val="24"/>
          <w:lang w:eastAsia="bg-BG"/>
        </w:rPr>
        <w:t>ендемитни</w:t>
      </w:r>
      <w:proofErr w:type="spellEnd"/>
      <w:r w:rsidRPr="00D0443C">
        <w:rPr>
          <w:rFonts w:ascii="Garamond" w:eastAsia="Calibri" w:hAnsi="Garamond" w:cs="Times New Roman"/>
          <w:b/>
          <w:sz w:val="24"/>
          <w:lang w:eastAsia="bg-BG"/>
        </w:rPr>
        <w:t>, намаляващи и изчезващи местообитания и видове</w:t>
      </w:r>
    </w:p>
    <w:p w14:paraId="7B8117A1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4526163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D0443C" w:rsidRPr="00FD448A" w14:paraId="10D52157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676EB9B3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1DD704B6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CDC772F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D0443C" w:rsidRPr="00FD448A" w14:paraId="70C02FB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C339" w14:textId="77777777" w:rsidR="00D0443C" w:rsidRPr="0091774D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768A3985" w14:textId="77777777" w:rsidR="00D0443C" w:rsidRPr="00FD448A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CD9F06" w14:textId="77777777" w:rsidR="00D0443C" w:rsidRPr="00FD448A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448A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9C49" w14:textId="77777777" w:rsidR="006070B3" w:rsidRDefault="00D0443C" w:rsidP="006070B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Парковата територия може да се оцени с висока степен на рядкост по отношение на природните местообитания, особено тези от степен тип, и висшата флора.</w:t>
            </w:r>
          </w:p>
          <w:p w14:paraId="7E5A7ED2" w14:textId="0D3988DF" w:rsidR="00D0443C" w:rsidRPr="00FD448A" w:rsidRDefault="00D0443C" w:rsidP="006070B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От редките съобщества с потенциал за тяхното намаляване, вследствие на природни и антропогенни фактори са всички тревни съобщества, поради опасността от пожари и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захрастяване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и крайречните гори от типа 91Е0* Алувиални гори с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Alnus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glutinosa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и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Fraxinus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excelsior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(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Alno-Pandion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,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Alnion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incanae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,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Salicion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 xml:space="preserve"> </w:t>
            </w:r>
            <w:proofErr w:type="spellStart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albae</w:t>
            </w:r>
            <w:proofErr w:type="spellEnd"/>
            <w:r w:rsidRPr="00D0443C">
              <w:rPr>
                <w:rFonts w:ascii="Garamond" w:eastAsia="Times New Roman" w:hAnsi="Garamond" w:cs="Arial"/>
                <w:snapToGrid w:val="0"/>
                <w:color w:val="000000"/>
              </w:rPr>
              <w:t>, поради сечи в тях при прочистване на речните корита.</w:t>
            </w:r>
          </w:p>
        </w:tc>
      </w:tr>
      <w:tr w:rsidR="00D0443C" w:rsidRPr="00FD448A" w14:paraId="3EBADA1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313" w14:textId="77777777" w:rsidR="00D0443C" w:rsidRPr="00FD448A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C0E72A" w14:textId="77777777" w:rsidR="00D0443C" w:rsidRPr="006070B3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6070B3">
              <w:rPr>
                <w:rFonts w:ascii="Garamond" w:eastAsia="Times New Roman" w:hAnsi="Garamond" w:cs="Arial"/>
                <w:b/>
                <w:sz w:val="20"/>
                <w:szCs w:val="20"/>
              </w:rPr>
              <w:t>+++/</w:t>
            </w:r>
          </w:p>
          <w:p w14:paraId="7770DFC4" w14:textId="77777777" w:rsidR="00D0443C" w:rsidRPr="00FD448A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6070B3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542B" w14:textId="7993384B" w:rsidR="00D0443C" w:rsidRPr="00FD448A" w:rsidRDefault="00D0443C" w:rsidP="006070B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На територията на ПП "Русенски </w:t>
            </w:r>
            <w:proofErr w:type="spellStart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Лом"с</w:t>
            </w:r>
            <w:proofErr w:type="spellEnd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консервационен</w:t>
            </w:r>
            <w:proofErr w:type="spellEnd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статут са 25 растителни вида – в т.ч. 2 български и 6 балкански </w:t>
            </w:r>
            <w:proofErr w:type="spellStart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ендемита</w:t>
            </w:r>
            <w:proofErr w:type="spellEnd"/>
            <w:r w:rsidRPr="00D0443C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, 7 вида са обект на опазване на Закона за биологичното разнообразие, 7 вида са включени в Червена книга на България, том 1 (Пеев 2015), 11 вида са обект на опазване от Конвенция CITES и 1 вид е включен в Приложение 1 на Бернската Конвенция. </w:t>
            </w:r>
          </w:p>
        </w:tc>
      </w:tr>
      <w:tr w:rsidR="00D0443C" w:rsidRPr="00FD448A" w14:paraId="68FA872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12D" w14:textId="77777777" w:rsidR="00D0443C" w:rsidRPr="00FD448A" w:rsidRDefault="00D0443C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FD448A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44AFF" w14:textId="50479307" w:rsidR="00D0443C" w:rsidRPr="006070B3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6070B3">
              <w:rPr>
                <w:rFonts w:ascii="Garamond" w:eastAsia="Times New Roman" w:hAnsi="Garamond" w:cs="Arial"/>
                <w:b/>
                <w:sz w:val="20"/>
                <w:szCs w:val="20"/>
              </w:rPr>
              <w:t>+++</w:t>
            </w:r>
          </w:p>
          <w:p w14:paraId="5C7DF5B2" w14:textId="68278C8B" w:rsidR="00D0443C" w:rsidRPr="00FD448A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0B4" w14:textId="7344794C" w:rsidR="00D0443C" w:rsidRPr="00FD448A" w:rsidRDefault="00D0443C" w:rsidP="006070B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От срещащите се на територията на парка животни с най-висока степен на рядкост са египетският лешояд, балканският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гекон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и разгледаните в точка 1.21.1.1. пъстър смок и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жълтокоремник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. Доскоро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беше най-значимото находище за египетския лешояд в Северна България, а понастоящем представлява едното от само две находища. Това е най-северно разположеното находище на вида на Балканския полуостров. За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жълтокоремника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долината на Мали Лом се явява единственото известно находище на вида в Северна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Блъгария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(изключение представлява тясна ивица по Черноморското крайбрежие), но след 1964 г. видът не е потвърждаван. Друг интересен рядък вид е балканският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гекон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Cyrtopodion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kotschyi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). За него </w:t>
            </w:r>
            <w:proofErr w:type="spellStart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се явява единствено изолирано находище в Северна България (като се изключи тясна ивица по Черноморското крайбрежие до гр. Варна). Това е и най-северното находище за вида на Балканския полуостров.</w:t>
            </w:r>
          </w:p>
        </w:tc>
      </w:tr>
    </w:tbl>
    <w:p w14:paraId="6E2044ED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67011CCD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BAC31C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747792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7B63B9" w:rsidRP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36B88" w14:textId="77777777" w:rsidR="00D004B8" w:rsidRDefault="00D004B8" w:rsidP="00033042">
      <w:pPr>
        <w:spacing w:after="0" w:line="240" w:lineRule="auto"/>
      </w:pPr>
      <w:r>
        <w:separator/>
      </w:r>
    </w:p>
  </w:endnote>
  <w:endnote w:type="continuationSeparator" w:id="0">
    <w:p w14:paraId="170D2046" w14:textId="77777777" w:rsidR="00D004B8" w:rsidRDefault="00D004B8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56C02" w14:textId="77777777" w:rsidR="00D004B8" w:rsidRDefault="00D004B8" w:rsidP="00033042">
      <w:pPr>
        <w:spacing w:after="0" w:line="240" w:lineRule="auto"/>
      </w:pPr>
      <w:r>
        <w:separator/>
      </w:r>
    </w:p>
  </w:footnote>
  <w:footnote w:type="continuationSeparator" w:id="0">
    <w:p w14:paraId="0F8FFDE3" w14:textId="77777777" w:rsidR="00D004B8" w:rsidRDefault="00D004B8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33042"/>
    <w:rsid w:val="002239F4"/>
    <w:rsid w:val="0024609E"/>
    <w:rsid w:val="003E7794"/>
    <w:rsid w:val="004E34F8"/>
    <w:rsid w:val="00550F00"/>
    <w:rsid w:val="006070B3"/>
    <w:rsid w:val="00683E7F"/>
    <w:rsid w:val="00757461"/>
    <w:rsid w:val="007B63B9"/>
    <w:rsid w:val="007E2BF9"/>
    <w:rsid w:val="00841BF2"/>
    <w:rsid w:val="0091774D"/>
    <w:rsid w:val="00987E8F"/>
    <w:rsid w:val="009C5168"/>
    <w:rsid w:val="00B04DEF"/>
    <w:rsid w:val="00B05107"/>
    <w:rsid w:val="00C41B10"/>
    <w:rsid w:val="00D004B8"/>
    <w:rsid w:val="00D0443C"/>
    <w:rsid w:val="00D138E0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4</cp:revision>
  <dcterms:created xsi:type="dcterms:W3CDTF">2020-04-22T07:11:00Z</dcterms:created>
  <dcterms:modified xsi:type="dcterms:W3CDTF">2020-04-22T12:06:00Z</dcterms:modified>
</cp:coreProperties>
</file>