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CB795" w14:textId="77777777" w:rsidR="004270F1" w:rsidRDefault="004270F1" w:rsidP="00ED4F6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CB325C" w14:textId="7FD7A95C" w:rsidR="004D74E1" w:rsidRPr="004D74E1" w:rsidRDefault="004D74E1" w:rsidP="004D74E1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32"/>
          <w:szCs w:val="32"/>
          <w:lang w:eastAsia="bg-BG"/>
        </w:rPr>
      </w:pPr>
      <w:r w:rsidRPr="004D74E1">
        <w:rPr>
          <w:rFonts w:ascii="Garamond" w:eastAsia="Times New Roman" w:hAnsi="Garamond" w:cs="Times New Roman"/>
          <w:b/>
          <w:sz w:val="32"/>
          <w:szCs w:val="32"/>
          <w:lang w:eastAsia="bg-BG"/>
        </w:rPr>
        <w:t>Исторически преглед на статута и предназначението на територията на ПП Русенски Лом</w:t>
      </w:r>
    </w:p>
    <w:p w14:paraId="6FFF4BE7" w14:textId="77777777" w:rsidR="004D74E1" w:rsidRDefault="004D74E1" w:rsidP="00FB279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bg-BG"/>
        </w:rPr>
      </w:pPr>
    </w:p>
    <w:p w14:paraId="5A945EB6" w14:textId="3D57E52A" w:rsidR="00FB2790" w:rsidRPr="004270F1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 w:rsidRPr="00FB2790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Режими и функции на площите до обявяването  на защитената територия.</w:t>
      </w:r>
    </w:p>
    <w:p w14:paraId="027F8275" w14:textId="77777777" w:rsidR="004270F1" w:rsidRPr="00FB2790" w:rsidRDefault="004270F1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</w:p>
    <w:p w14:paraId="090241B0" w14:textId="77777777" w:rsidR="00FB2790" w:rsidRPr="00FB2790" w:rsidRDefault="00FB2790" w:rsidP="00FB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Поломието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включва площи в които различни обстоятелства са обусловили появата на  човека относително рано. Формиран е сложен етно-културен комплекс с широк хронологичен обхват, представляващ основна съставна част от цялостния облик на тези територии. Обектите на културно-историческото  наследство са разположени сред впечатляваща природна среда.</w:t>
      </w:r>
    </w:p>
    <w:p w14:paraId="369EC10C" w14:textId="77777777" w:rsidR="00FB2790" w:rsidRPr="00FB2790" w:rsidRDefault="00FB2790" w:rsidP="00FB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Поломието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става обект на научен интерес още в края на 19 век. Тогавашното състояние на паметниците на културата е отразено в основополагащия труд на К.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Шкорпил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Опис на старините по течението на река Русенски Лом, София, 1914г. В последствие усилията на проучвателите се насочват към запазените стенописи, най-вече на тези в скалните църкви при с. Иваново,  които след публикации, придобиват международна известност.  Значителна е дейността по археологическото проучване на средновековния град Червен. Разкопките през периода 1911-1995г., нареждат града сред водещите средища на българската средновековна археология и разкриват много от характерните белези на културата на Второто българско царство(12-14 век).</w:t>
      </w:r>
    </w:p>
    <w:p w14:paraId="0360C779" w14:textId="77777777" w:rsidR="00FB2790" w:rsidRPr="00FB2790" w:rsidRDefault="00FB2790" w:rsidP="00FB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През 1965г.средновековния град Червен, скалните църкви при с. Иваново и пещерата Орлова чука са обявени за  музейни резервати.</w:t>
      </w:r>
    </w:p>
    <w:p w14:paraId="32D125D4" w14:textId="77777777" w:rsidR="00FB2790" w:rsidRPr="00FB2790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Долината на Ломовете е посещавано място и обект на проучвания и експедиции от биолози, географи, природозащитници, музейни работници (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М.Халваджиев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Е.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Унджиян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Т. Мичев,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Д.Браун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, В. Дойков)</w:t>
      </w:r>
    </w:p>
    <w:p w14:paraId="1CA50AB0" w14:textId="77777777" w:rsidR="00FB2790" w:rsidRPr="00FB2790" w:rsidRDefault="00FB2790" w:rsidP="00FB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До обявяването на територията на Ломовете за защитен природен обект (Закон за защита на природата, ДВ, бр.47 от 1967 г.), площите от горския фонд са стопанисвани съгласно Закона за горите (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обн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., Изв., бр. 89 от 1958 г.;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изм.ДВ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, бр. 26 от 1968 г.). Селскостопанският фонд е ползван традиционно, предимно като ливади и обработваеми площи.</w:t>
      </w:r>
    </w:p>
    <w:p w14:paraId="0297BF28" w14:textId="77777777" w:rsidR="00FB2790" w:rsidRPr="00FB2790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1.3.1.2. Причини за промяна статута на площите и обявяване на Народен парк Русенски Лом.</w:t>
      </w:r>
    </w:p>
    <w:p w14:paraId="128D245F" w14:textId="77777777" w:rsidR="00FB2790" w:rsidRPr="00FB2790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През 1965г.е направено първото аргументирано предложение до Комисията по Защита на природата при МГГП за обявяване на района на Ломовете за защитен (Исторически музей-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Русе,Е.Унджиян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-уредник отдел Природа;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Т.Мичев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-завеждащ Биологична станция Сребърна ).</w:t>
      </w:r>
    </w:p>
    <w:p w14:paraId="4BB904E3" w14:textId="77777777" w:rsidR="00FB2790" w:rsidRPr="00FB2790" w:rsidRDefault="00FB2790" w:rsidP="00FB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През 1970 г. Народен парк “Русенски Лом” е обявен за защитен природен обект като резултат на общите усилия на държавни институции - Окръжен народен съвет(гл. архитект Стоев),Окръжен музей Русе, ХЕИ, Районна дирекция на горите,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Паркстрой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(Н. Вълкова) и частни лица -Д. Браун,1968-1969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г.преподавател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английската гимназия в Русе-любител орнитолог, В. Дойков- автор на книга за Ломовете, М.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Халваджиев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Е.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Унджиян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Т. Мичев. По предложение на Окръжен народен съвет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гр.Русе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природозащитната общественост, МГГП обявява Народен парк “Русенски Лом”:</w:t>
      </w:r>
    </w:p>
    <w:p w14:paraId="13FD6809" w14:textId="77777777" w:rsidR="00FB2790" w:rsidRPr="00FB2790" w:rsidRDefault="00FB2790" w:rsidP="00FB27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8CE680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z w:val="20"/>
          <w:szCs w:val="20"/>
        </w:rPr>
        <w:t xml:space="preserve">Заповед № 567/26.02.1970 </w:t>
      </w:r>
      <w:proofErr w:type="spellStart"/>
      <w:r w:rsidRPr="00FB2790">
        <w:rPr>
          <w:rFonts w:ascii="Times New Roman" w:eastAsia="Times New Roman" w:hAnsi="Times New Roman" w:cs="Times New Roman"/>
          <w:b/>
          <w:sz w:val="20"/>
          <w:szCs w:val="20"/>
        </w:rPr>
        <w:t>г</w:t>
      </w:r>
      <w:r w:rsidRPr="00FB2790">
        <w:rPr>
          <w:rFonts w:ascii="Times New Roman" w:eastAsia="Times New Roman" w:hAnsi="Times New Roman" w:cs="Times New Roman"/>
          <w:sz w:val="20"/>
          <w:szCs w:val="20"/>
        </w:rPr>
        <w:t>.на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МГГП, ДВ бр.30/14.04.1970 г. за обявяване на народен парк под наименованието Русенски Лом, “следния район от поречието на р. Русенски Лом и нейните притоци, включващи ивици по 100 м от двете страни на веждата на скалите с обща площ 22 267 дка:</w:t>
      </w:r>
    </w:p>
    <w:p w14:paraId="6773B668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р. Черни Лом – от моста при Калето под с. Червен до мелницата в землището на с. Кошов с дължина 8 км и площ 2312 дка;</w:t>
      </w:r>
    </w:p>
    <w:p w14:paraId="5D29A200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р. Малки Лом – от Бялата стена под с. Сваленик до сводестия мост под с. Нисово с дължина 7 км и площ 3706 дка;</w:t>
      </w:r>
    </w:p>
    <w:p w14:paraId="2138BB42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р. Бели Лом – м. Калето над с. Писанец с площ 1062 дка;</w:t>
      </w:r>
    </w:p>
    <w:p w14:paraId="1874A3FA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р. Бели Лом – от Каменния мост под с. Писанец до с. Нисово с дължина 16 км и площ 6000 дка;</w:t>
      </w:r>
    </w:p>
    <w:p w14:paraId="4DC36EDC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р. Бели Лом – от моста под с. Нисово до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водослива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й с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р.Черни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Лом, р. Черни Лом от моста под с. Кошов до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водослива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й с р. Бели Лом и р. Русенски Лом, от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водослива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на р. Бели и Черни Лом до скалната черква в землището на с. Иваново с обща дължина 11 км и обща площ 9187 дка;</w:t>
      </w:r>
    </w:p>
    <w:p w14:paraId="5D80BADF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НП Русенски Лом да се означи на терена с ясно видими и трайни знаци и да се запише в държавния регистър на защитените природни обекти.</w:t>
      </w:r>
    </w:p>
    <w:p w14:paraId="2E8DEBC2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В района на НП се забранява:</w:t>
      </w:r>
    </w:p>
    <w:p w14:paraId="159A36CA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Сечене, чупене и изкореняване, обелване на цели дървета или части от тях или повреждането им по какъвто и да е начин и с каквито и да е средства –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дълбане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надписи, засичане, боядисване, заковаване на гвоздеи, предмети и др.</w:t>
      </w:r>
    </w:p>
    <w:p w14:paraId="58349788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lastRenderedPageBreak/>
        <w:t>Пускане на паша на домашен добитък от всякакъв вид и през всяко време.</w:t>
      </w:r>
    </w:p>
    <w:p w14:paraId="74A6266D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Палене на огън извън определените по устройствения проект места</w:t>
      </w:r>
    </w:p>
    <w:p w14:paraId="251D24A0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Ловуване и гърмене с огнестрелно оръжие и др. експлозиви.</w:t>
      </w:r>
    </w:p>
    <w:p w14:paraId="6A12DFDF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Преследване, ловене и убиване на всякакъв вид животни, а така също и събиране и унищожаване яйцата на птиците и повреждане на гнездата им.</w:t>
      </w:r>
    </w:p>
    <w:p w14:paraId="71234E5E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Замърсяване на водите и изворите, реките, изкуствените басейни и др.</w:t>
      </w:r>
    </w:p>
    <w:p w14:paraId="72825C9D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Откриване на кариери, построяване на варници, изхвърляне на промишлени отпадъци, както и всякакви други действия, чрез които се загрозява или нарушава природната обстановка в парка.</w:t>
      </w:r>
    </w:p>
    <w:p w14:paraId="0E27E59B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Повреждане по какъвто и да е начин на скалните църкви и на водениците в границите на парка.</w:t>
      </w:r>
    </w:p>
    <w:p w14:paraId="2BA01472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Повреждане или разрушаване чрез къртене, копане, написване, драскане по скалите и скалните образувания, намиращи се в границите на парка.</w:t>
      </w:r>
    </w:p>
    <w:p w14:paraId="373D288A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Повреждане на съществуващите пътища или отваряне на нови, преминаване с каквито и да е превозни средства по алеите определени за пешеходци.</w:t>
      </w:r>
    </w:p>
    <w:p w14:paraId="404908C7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Събиране, копане и вадене на почвена покривка, пясък, глина и др.</w:t>
      </w:r>
    </w:p>
    <w:p w14:paraId="4CE2A18B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Повреждане по какъвто и да е начин на съществуващите държавни и обществени постройки. </w:t>
      </w:r>
    </w:p>
    <w:p w14:paraId="2D5C36E0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Строеж на сгради извън местата определени за тази цел с плана за благоустрояването на парка.</w:t>
      </w:r>
    </w:p>
    <w:p w14:paraId="45B1FFFF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Повреждане и заличаване по какъвто и да е начин и с каквито и да е средства на служебните надписи, табели и пътеводни знаци и др. съоръжения , както и поставяне на нови без разрешение на горското стопанство.</w:t>
      </w:r>
    </w:p>
    <w:p w14:paraId="58B6C48F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В районът на НП , с предварително разрешение на МГГП се допуска:</w:t>
      </w:r>
    </w:p>
    <w:p w14:paraId="769F8381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А/ Бране на растения и улавяне на диви животни от всякакъв вид с научна цел в ограничено количество;</w:t>
      </w:r>
    </w:p>
    <w:p w14:paraId="6084D8BC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Б/ Намаляване на вредния дивеч, когато се размножи в застрашителни размери по предварително изработен и одобрен от МГГП план;</w:t>
      </w:r>
    </w:p>
    <w:p w14:paraId="637B7B49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В/ залесяване на голите места и възобновяване на насажденията.</w:t>
      </w:r>
    </w:p>
    <w:p w14:paraId="13359B4E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Начинът на стопанисването и ползването на горите, както и характерът и обемът на залесяването, пътната мрежа, строителните площадки  и др. се определят с устройствения проект на парка.</w:t>
      </w:r>
    </w:p>
    <w:p w14:paraId="0A93B583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Включените в парка земи от поземления фонд се стопанисват по досегашния начин.</w:t>
      </w:r>
    </w:p>
    <w:p w14:paraId="5FA72294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НП Русенски Лом се ръководи и стопанисва от горското стопанство в гр. Русе.</w:t>
      </w:r>
    </w:p>
    <w:p w14:paraId="29E66640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Нарушителите на тази заповед се наказват съгласно чл. 35 – 37 от Закона за защита на природата.”</w:t>
      </w:r>
    </w:p>
    <w:p w14:paraId="06ED80F7" w14:textId="77777777" w:rsidR="00FB2790" w:rsidRPr="00FB2790" w:rsidRDefault="00FB2790" w:rsidP="00FB279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</w:rPr>
      </w:pPr>
    </w:p>
    <w:p w14:paraId="607943CB" w14:textId="77777777" w:rsidR="00FB2790" w:rsidRPr="00FB2790" w:rsidRDefault="00FB2790" w:rsidP="00FB279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</w:rPr>
      </w:pPr>
    </w:p>
    <w:p w14:paraId="272AA833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Заповед № 586/08.06.1983г</w:t>
      </w:r>
      <w:r w:rsidRPr="00FB2790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. </w:t>
      </w: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на КОПС при МС за изменение на Заповед № 567/26.02.1970 г. на МГГП и определяне на площите, включени в територията на НП Русенски Лом:</w:t>
      </w:r>
    </w:p>
    <w:p w14:paraId="2A83841F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От горския фонд на ГС Русе - 1503,6 ха.</w:t>
      </w:r>
    </w:p>
    <w:p w14:paraId="127059B4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От гори предоставени на АПК –298.6 ха.</w:t>
      </w:r>
    </w:p>
    <w:p w14:paraId="7B2E09F5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От селскостопански фонд – 359.2 ха.</w:t>
      </w:r>
    </w:p>
    <w:p w14:paraId="3040E55B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Общата площ на НП възлиза на 2161.4 ха.</w:t>
      </w:r>
    </w:p>
    <w:p w14:paraId="44AB9685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“….В НП Русенски Лом се разрешава пашата на домашни животни, като броят и видът на добитъка /без кози/, който ще се допуска за паша се определя ежегодно от организациите, стопанисващи НП, съгласувано с ОНС Русе и РИОПС – Русе.</w:t>
      </w:r>
    </w:p>
    <w:p w14:paraId="05BA4A95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Включените в границите на НП земи от поземления фонд да запазят традиционния режим на стопанисване, като ливади и пасища.</w:t>
      </w:r>
    </w:p>
    <w:p w14:paraId="56CBD692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Селскостопанските сгради в пределите на НП да се изнесат в горните части на парка, между веждата на скалните венци и границите му с обработваемите земи, в местата, определени от  </w:t>
      </w:r>
      <w:proofErr w:type="spellStart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>Паркоустройствения</w:t>
      </w:r>
      <w:proofErr w:type="spellEnd"/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проект….” </w:t>
      </w:r>
    </w:p>
    <w:p w14:paraId="64F391D4" w14:textId="77777777" w:rsidR="00FB2790" w:rsidRPr="00FB2790" w:rsidRDefault="00FB2790" w:rsidP="00FB27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6F2E5658" w14:textId="77777777" w:rsidR="00FB2790" w:rsidRPr="00FB2790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5FB35020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z w:val="20"/>
          <w:szCs w:val="20"/>
        </w:rPr>
        <w:t>Заповед № 580/17.06.1986</w:t>
      </w: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г. на КОПС при МС за видоизменяне на Заповед № 586/08.06.83 г. за определяне на нови граници. </w:t>
      </w:r>
    </w:p>
    <w:p w14:paraId="7D15B3AA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“ Обща площ на НП Русенски Лом - 3259,8 ха.</w:t>
      </w:r>
    </w:p>
    <w:p w14:paraId="449A6B02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До края на 1988 г. МЗГ да изготви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Паркоустройствен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проект, в който приемната зона на парка да се обвърже със селата Червен, Кошов и Нисово.</w:t>
      </w:r>
    </w:p>
    <w:p w14:paraId="7307F514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351F9CD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На територията на НП Русенски Лом се забраняват:</w:t>
      </w:r>
    </w:p>
    <w:p w14:paraId="4AE8F8ED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Всякакво строителство, освен предвиденото в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Паркоустройствения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проект</w:t>
      </w:r>
    </w:p>
    <w:p w14:paraId="66A27290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Разкриване на кариери, минно-геоложки и други дейности, с които се изменя естествения облик на местността или водния й режим. </w:t>
      </w:r>
    </w:p>
    <w:p w14:paraId="0111EFAF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Извеждане на сечи, освен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отгледни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и санитарни, до приемане на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Паркоустройствения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проект.</w:t>
      </w:r>
    </w:p>
    <w:p w14:paraId="2824B93C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Ловуване, освен унищожаване на хищници (лисици, чакали, диви кучета) при доказана необходимост.</w:t>
      </w:r>
    </w:p>
    <w:p w14:paraId="23E2F02B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Безпокоене на дивите животни, събиране и унищожаване на яйцата и гнездата на птиците.</w:t>
      </w:r>
    </w:p>
    <w:p w14:paraId="54245788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Късане на цветя, събиране на билки и горски плодове за търговски и промишлени цели.</w:t>
      </w:r>
    </w:p>
    <w:p w14:paraId="113EDD8E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Повреждане на скалните църкви и други исторически обекти.</w:t>
      </w:r>
    </w:p>
    <w:p w14:paraId="33C643FD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Създаване на пчелини и палене на огън извън местата определени с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Паркоустройствения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проект.</w:t>
      </w:r>
    </w:p>
    <w:p w14:paraId="582B0B9D" w14:textId="77777777" w:rsidR="00FB2790" w:rsidRPr="00FB2790" w:rsidRDefault="00FB2790" w:rsidP="00FB279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Използване на химически средства за химическа защита.</w:t>
      </w:r>
    </w:p>
    <w:p w14:paraId="0669638D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41CBFB6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В НП Русенски Лом се разрешават:</w:t>
      </w:r>
    </w:p>
    <w:p w14:paraId="2DF37865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Паша на домашни животни (без кози) в определените с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Паркоустройствения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проект площи.</w:t>
      </w:r>
    </w:p>
    <w:p w14:paraId="705E74E8" w14:textId="77777777" w:rsidR="00FB2790" w:rsidRPr="00FB2790" w:rsidRDefault="00FB2790" w:rsidP="00FB279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Провеждане на подборен лов в периода септември-януари в отделите 36, 37, 68, 69, 70 от горския фонд без 300-метровата ивица от веждата на скалните венци.</w:t>
      </w:r>
    </w:p>
    <w:p w14:paraId="72B7EDA7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52505CC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Включените в границите на НП земи от поземления фонд запазват традиционния режим на стопанисване.”</w:t>
      </w:r>
    </w:p>
    <w:p w14:paraId="485C2CC4" w14:textId="77777777" w:rsidR="00FB2790" w:rsidRPr="00FB2790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32E23E3" w14:textId="42A4F315" w:rsidR="00FB2790" w:rsidRPr="00FB2790" w:rsidRDefault="00FB2790" w:rsidP="00FB27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FB279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Сегашен  статут на ПП “Русенски Лом”</w:t>
      </w:r>
    </w:p>
    <w:p w14:paraId="6C237648" w14:textId="77777777" w:rsidR="00FB2790" w:rsidRPr="00FB2790" w:rsidRDefault="00FB2790" w:rsidP="00FB27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7D988D" w14:textId="77777777" w:rsidR="00FB2790" w:rsidRPr="00FB2790" w:rsidRDefault="00FB2790" w:rsidP="00FB27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Със Заповед № РД-794 от 19 август 2002 г. на Министъра на околната среда и водите съгласно чл.42 ал.5, във връзка с чл.41 т.4, чл.29 и параграф 3  от ПЗР на Закона за защитените територии  Народен парк “Русенски Лом” се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прекатегоризира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в Природен парк със същото име. </w:t>
      </w:r>
    </w:p>
    <w:p w14:paraId="18521E62" w14:textId="77777777" w:rsidR="00FB2790" w:rsidRPr="00FB2790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164622E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>Чл. 29</w:t>
      </w: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(1) За природни паркове се обявяват територии, включващи разнообразни екосистеми с многообразие на растителни и животински видове и на техните местообитания, с характерни и забележителни ландшафти и обекти на неживата природа.</w:t>
      </w:r>
    </w:p>
    <w:p w14:paraId="23174A9E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(2) Природните паркове се управляват с цел:</w:t>
      </w:r>
    </w:p>
    <w:p w14:paraId="4F9642F3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1. поддържане на разнообразието на екосистемите и опазване на биологичното разнообразие в тях;</w:t>
      </w:r>
    </w:p>
    <w:p w14:paraId="52933CEB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2. предоставяне на възможности за развитие на научни, образователни и рекреационни дейности;</w:t>
      </w:r>
    </w:p>
    <w:p w14:paraId="7594D8A3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3. устойчиво ползване на </w:t>
      </w:r>
      <w:proofErr w:type="spellStart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възобновимите</w:t>
      </w:r>
      <w:proofErr w:type="spellEnd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природни ресурси при запазване на традиционни форми на поминък, както и осигуряване на условия за развитие на туризъм.</w:t>
      </w:r>
    </w:p>
    <w:p w14:paraId="6A47DA2D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 xml:space="preserve">Чл. 30 </w:t>
      </w: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(1) В границите на природните паркове може да има населени места, селищни образувания и курорти, както и да се осъществяват производства и дейности, които не замърсяват околната среда.</w:t>
      </w:r>
    </w:p>
    <w:p w14:paraId="6189DF04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(2) Защитените територии от други категории, попадащи в границите на природните паркове, запазват режимите си, определени със заповедта за обявяването им.</w:t>
      </w:r>
    </w:p>
    <w:p w14:paraId="013D8129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>Чл. 31</w:t>
      </w: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В природните паркове се забраняват:</w:t>
      </w:r>
    </w:p>
    <w:p w14:paraId="2F90BA2B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1. извеждане на голи сечи във високостеблени гори, с изключение на тополовите, а в </w:t>
      </w:r>
      <w:proofErr w:type="spellStart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издънкови</w:t>
      </w:r>
      <w:proofErr w:type="spellEnd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гори - с площ по-голяма от 3 хектара;</w:t>
      </w:r>
    </w:p>
    <w:p w14:paraId="5E42C6E8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2. внасяне на неприсъщи за района растителни и животински видове;</w:t>
      </w:r>
    </w:p>
    <w:p w14:paraId="42D59BF8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3. паша на кози освен на определени за това места;</w:t>
      </w:r>
    </w:p>
    <w:p w14:paraId="17CD479F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4. събиране на вкаменелости и минерали, увреждане на скални образувания;</w:t>
      </w:r>
    </w:p>
    <w:p w14:paraId="39416006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5. замърсяване на водите и терените с битови, промишлени и други отпадъци;</w:t>
      </w:r>
    </w:p>
    <w:p w14:paraId="1C0DA80A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6. </w:t>
      </w:r>
      <w:proofErr w:type="spellStart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бивакуване</w:t>
      </w:r>
      <w:proofErr w:type="spellEnd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и палене на огън извън определените места;</w:t>
      </w:r>
    </w:p>
    <w:p w14:paraId="52F443A6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7. добив на полезни изкопаеми по открит способ;</w:t>
      </w:r>
    </w:p>
    <w:p w14:paraId="7FD42419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8. (нова - ДВ, бр. 28 от 2000 г.) добив и първична преработка (обогатяване) на метални полезни изкопаеми чрез прилагане на химически и химико-бактериологични методи и цианиди;</w:t>
      </w:r>
    </w:p>
    <w:p w14:paraId="0879C966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9. (предишна т. 8 - ДВ, бр. 28 от 2000 г.) дейности и строителство, които не са разрешени със заповедта за обявяване на парка, плана за управление на парка и устройствените и технически планове и проекти;</w:t>
      </w:r>
    </w:p>
    <w:p w14:paraId="432FFA56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10. (предишна т. 9, доп. - ДВ, бр. 28 от 2000 г.) събиране на редки, </w:t>
      </w:r>
      <w:proofErr w:type="spellStart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ендемитни</w:t>
      </w:r>
      <w:proofErr w:type="spellEnd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, </w:t>
      </w:r>
      <w:proofErr w:type="spellStart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реликтни</w:t>
      </w:r>
      <w:proofErr w:type="spellEnd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и защитени видове, освен за научни цели;</w:t>
      </w:r>
    </w:p>
    <w:p w14:paraId="22A39C7F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11. (предишна т. 10 - ДВ, бр. 28 от 2000 г.) добив на ресурси от морето чрез </w:t>
      </w:r>
      <w:proofErr w:type="spellStart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драгиране</w:t>
      </w:r>
      <w:proofErr w:type="spellEnd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и </w:t>
      </w:r>
      <w:proofErr w:type="spellStart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тралиране</w:t>
      </w:r>
      <w:proofErr w:type="spellEnd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;</w:t>
      </w:r>
    </w:p>
    <w:p w14:paraId="79B77326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12. (предишна т. 11 - ДВ, бр. 28 от 2000 г.) други дейности, определени със заповедта за обявяване на защитената територия и с плана за управление.</w:t>
      </w:r>
    </w:p>
    <w:p w14:paraId="0DC96FCB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</w:t>
      </w:r>
      <w:r w:rsidRPr="00FB2790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>Чл. 32</w:t>
      </w: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(1) За природните паркове се прилагат разпоредбите на чл. 19 и 22.</w:t>
      </w:r>
    </w:p>
    <w:p w14:paraId="03D2834F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lastRenderedPageBreak/>
        <w:t xml:space="preserve">        (2) За природните паркове или части от тях могат да се прилагат разпоредбите на чл. 21, ал. 1, ако са приети с плановете за управление, утвърдени от Министерския съвет.</w:t>
      </w:r>
    </w:p>
    <w:p w14:paraId="3E0428E5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>Чл. 19</w:t>
      </w: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В националните паркове се обособяват следните зони:</w:t>
      </w:r>
    </w:p>
    <w:p w14:paraId="40A19FB3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1. резервати и поддържани резервати;</w:t>
      </w:r>
    </w:p>
    <w:p w14:paraId="13786CF2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2. туристическа зона;</w:t>
      </w:r>
    </w:p>
    <w:p w14:paraId="0DF84E5E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3. зони на хижите, административните центрове за управление и поддръжка на парковете и спортните съоръжения;</w:t>
      </w:r>
    </w:p>
    <w:p w14:paraId="09E32672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z w:val="20"/>
          <w:szCs w:val="20"/>
        </w:rPr>
        <w:t>Чл. 21</w:t>
      </w: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В националните паркове се забраняват:</w:t>
      </w:r>
    </w:p>
    <w:p w14:paraId="6A46A307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       1. (изм. - ДВ, бр. 48 от 2000 г.) строителство, освен на туристически  заслони и хижи,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водохващания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за питейни нужди, пречиствателни съоръжения, сгради и съоръжения за нуждите на управлението на парка и обслужването на посетителите, подземни комуникации, ремонт на съществуващите сгради, пътища, спортни и други съоръжения;</w:t>
      </w:r>
    </w:p>
    <w:p w14:paraId="32E9258D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>Чл. 22</w:t>
      </w: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Зоните по чл. 19, районите, местата, начините и други условия за извършване на дейностите в националните паркове се определят с плановете за управлението им.</w:t>
      </w:r>
    </w:p>
    <w:p w14:paraId="35525C2E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</w:t>
      </w:r>
    </w:p>
    <w:p w14:paraId="33A70EE7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            ЗЗТ ДВ бр. 133/11.11.98 г., изм. и доп. ДВ бр.98/99 г., изм. и доп. ДВ бр. 28/04.04.2000 г.,   </w:t>
      </w:r>
    </w:p>
    <w:p w14:paraId="2AF3849E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            ДВ бр.48/13.06.2000 г., ДВ бр. 78/26.09.2000 г.</w:t>
      </w:r>
    </w:p>
    <w:p w14:paraId="5B336CED" w14:textId="77777777" w:rsidR="00FB2790" w:rsidRPr="00FB2790" w:rsidRDefault="00FB2790" w:rsidP="00FB279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14:paraId="5EE69D88" w14:textId="77777777" w:rsidR="00FB2790" w:rsidRPr="00FB2790" w:rsidRDefault="00FB2790" w:rsidP="00FB279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14:paraId="503657A7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msCyr" w:eastAsia="Times New Roman" w:hAnsi="TmsCyr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2790">
        <w:rPr>
          <w:rFonts w:ascii="Times New Roman" w:eastAsia="Times New Roman" w:hAnsi="Times New Roman" w:cs="Times New Roman"/>
          <w:b/>
          <w:sz w:val="20"/>
          <w:szCs w:val="20"/>
        </w:rPr>
        <w:t>Заповед № РД-794 от 19 август 2002 г.</w:t>
      </w: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на Министъра на околната среда и водите</w:t>
      </w: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за  </w:t>
      </w:r>
      <w:proofErr w:type="spellStart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прекатегоризиране</w:t>
      </w:r>
      <w:proofErr w:type="spellEnd"/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на Народен парк “Русенски Лом” в Природен парк със същото име</w:t>
      </w:r>
    </w:p>
    <w:p w14:paraId="4FCD7510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msCyr" w:eastAsia="Times New Roman" w:hAnsi="TmsCyr" w:cs="Times New Roman"/>
          <w:sz w:val="20"/>
          <w:szCs w:val="20"/>
        </w:rPr>
      </w:pPr>
    </w:p>
    <w:p w14:paraId="1810C706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msCyr" w:eastAsia="Times New Roman" w:hAnsi="TmsCyr" w:cs="Times New Roman"/>
          <w:sz w:val="20"/>
          <w:szCs w:val="20"/>
        </w:rPr>
        <w:t xml:space="preserve">3. </w:t>
      </w:r>
      <w:r w:rsidRPr="00FB2790">
        <w:rPr>
          <w:rFonts w:ascii="Times New Roman" w:eastAsia="Times New Roman" w:hAnsi="Times New Roman" w:cs="Times New Roman"/>
          <w:sz w:val="20"/>
          <w:szCs w:val="20"/>
        </w:rPr>
        <w:t>Освен дейностите по Чл. 31 от</w:t>
      </w:r>
      <w:r w:rsidRPr="00FB2790">
        <w:rPr>
          <w:rFonts w:ascii="TmsCyr" w:eastAsia="Times New Roman" w:hAnsi="TmsCyr" w:cs="Times New Roman"/>
          <w:sz w:val="20"/>
          <w:szCs w:val="20"/>
        </w:rPr>
        <w:t xml:space="preserve"> </w:t>
      </w:r>
      <w:proofErr w:type="spellStart"/>
      <w:r w:rsidRPr="00FB2790">
        <w:rPr>
          <w:rFonts w:ascii="TmsCyr" w:eastAsia="Times New Roman" w:hAnsi="TmsCyr" w:cs="Times New Roman"/>
          <w:sz w:val="20"/>
          <w:szCs w:val="20"/>
        </w:rPr>
        <w:t>Çàêîíà</w:t>
      </w:r>
      <w:proofErr w:type="spellEnd"/>
      <w:r w:rsidRPr="00FB2790">
        <w:rPr>
          <w:rFonts w:ascii="TmsCyr" w:eastAsia="Times New Roman" w:hAnsi="TmsCyr" w:cs="Times New Roman"/>
          <w:sz w:val="20"/>
          <w:szCs w:val="20"/>
        </w:rPr>
        <w:t xml:space="preserve"> </w:t>
      </w:r>
      <w:proofErr w:type="spellStart"/>
      <w:r w:rsidRPr="00FB2790">
        <w:rPr>
          <w:rFonts w:ascii="TmsCyr" w:eastAsia="Times New Roman" w:hAnsi="TmsCyr" w:cs="Times New Roman"/>
          <w:sz w:val="20"/>
          <w:szCs w:val="20"/>
        </w:rPr>
        <w:t>çà</w:t>
      </w:r>
      <w:proofErr w:type="spellEnd"/>
      <w:r w:rsidRPr="00FB2790">
        <w:rPr>
          <w:rFonts w:ascii="TmsCyr" w:eastAsia="Times New Roman" w:hAnsi="TmsCyr" w:cs="Times New Roman"/>
          <w:sz w:val="20"/>
          <w:szCs w:val="20"/>
        </w:rPr>
        <w:t xml:space="preserve"> </w:t>
      </w:r>
      <w:proofErr w:type="spellStart"/>
      <w:r w:rsidRPr="00FB2790">
        <w:rPr>
          <w:rFonts w:ascii="TmsCyr" w:eastAsia="Times New Roman" w:hAnsi="TmsCyr" w:cs="Times New Roman"/>
          <w:sz w:val="20"/>
          <w:szCs w:val="20"/>
        </w:rPr>
        <w:t>çàùèòåíèòå</w:t>
      </w:r>
      <w:proofErr w:type="spellEnd"/>
      <w:r w:rsidRPr="00FB2790">
        <w:rPr>
          <w:rFonts w:ascii="TmsCyr" w:eastAsia="Times New Roman" w:hAnsi="TmsCyr" w:cs="Times New Roman"/>
          <w:sz w:val="20"/>
          <w:szCs w:val="20"/>
        </w:rPr>
        <w:t xml:space="preserve"> </w:t>
      </w:r>
      <w:proofErr w:type="spellStart"/>
      <w:r w:rsidRPr="00FB2790">
        <w:rPr>
          <w:rFonts w:ascii="TmsCyr" w:eastAsia="Times New Roman" w:hAnsi="TmsCyr" w:cs="Times New Roman"/>
          <w:sz w:val="20"/>
          <w:szCs w:val="20"/>
        </w:rPr>
        <w:t>òåðèòîðèè</w:t>
      </w:r>
      <w:proofErr w:type="spellEnd"/>
      <w:r w:rsidRPr="00FB2790">
        <w:rPr>
          <w:rFonts w:ascii="TmsCyr" w:eastAsia="Times New Roman" w:hAnsi="TmsCyr" w:cs="Times New Roman"/>
          <w:sz w:val="20"/>
          <w:szCs w:val="20"/>
        </w:rPr>
        <w:t xml:space="preserve">, </w:t>
      </w:r>
      <w:r w:rsidRPr="00FB2790">
        <w:rPr>
          <w:rFonts w:ascii="Times New Roman" w:eastAsia="Times New Roman" w:hAnsi="Times New Roman" w:cs="Times New Roman"/>
          <w:sz w:val="20"/>
          <w:szCs w:val="20"/>
        </w:rPr>
        <w:t>в границите на природния парк “Русенски лом” забранявам:</w:t>
      </w:r>
    </w:p>
    <w:p w14:paraId="56AFED59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3.1. Ловуване, с изключение на подборен лов в периода септември-януари в отдели – 36, 37, 68, 69, 70 и лов на хищници - лисици, чакали, скитащи кучета. </w:t>
      </w:r>
    </w:p>
    <w:p w14:paraId="363143B4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3.2.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Миннногеоложки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и други дейности, с които се изменя естествения облик на местността и/или водния и режим.</w:t>
      </w:r>
    </w:p>
    <w:p w14:paraId="1AFF1819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3.3. Паша на кози.</w:t>
      </w:r>
    </w:p>
    <w:p w14:paraId="474C4A67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3.4. Късането на цветя, събиране на билки и горски плодове за търговски и промишлени цели;</w:t>
      </w:r>
    </w:p>
    <w:p w14:paraId="54CF2AA8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3.5. Повреждането на скалните църкви и други исторически обекти;</w:t>
      </w:r>
    </w:p>
    <w:p w14:paraId="2AA455AF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3.6. Създаването на пчелини и палене на огън извън местата определени с плана за управление;</w:t>
      </w:r>
    </w:p>
    <w:p w14:paraId="7D77EE91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>3.7. Използване на химически средства за растителна защита.</w:t>
      </w:r>
    </w:p>
    <w:p w14:paraId="7D082243" w14:textId="77777777" w:rsidR="00FB2790" w:rsidRPr="00FB2790" w:rsidRDefault="00FB2790" w:rsidP="00FB279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14:paraId="3C1772A1" w14:textId="77777777" w:rsidR="00FB2790" w:rsidRPr="00FB2790" w:rsidRDefault="00FB2790" w:rsidP="00FB27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В границите на ПП “Русенски Лом” са включени 82.3 ха от НАР “Скалните църкви край с. Иваново” и НАР “Средновековен град Червен”. </w:t>
      </w:r>
    </w:p>
    <w:p w14:paraId="6A9561ED" w14:textId="77777777" w:rsidR="00FB2790" w:rsidRPr="00FB2790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7FDAC053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 xml:space="preserve">Чл. 6 </w:t>
      </w: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>(3) Паметниците на културата, попадащи в границите на защитените територии, запазват режимите си на опазване и ползване, определени по реда на Закона за паметниците на културата и музеите.</w:t>
      </w:r>
    </w:p>
    <w:p w14:paraId="06111A54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14:paraId="592BCAD3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            ЗЗТ ДВ бр. 133/11.11.98 г., изм. и доп. ДВ бр.98/99 г., изм. и доп. ДВ бр. 28/04.04.2000 г.,   </w:t>
      </w:r>
    </w:p>
    <w:p w14:paraId="0010F758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                   ДВ бр.48/13.06.2000 г., ДВ бр. 78/26.09.2000 г.</w:t>
      </w:r>
    </w:p>
    <w:p w14:paraId="25ED93A8" w14:textId="77777777" w:rsidR="00FB2790" w:rsidRPr="00FB2790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6465FB6" w14:textId="77777777" w:rsidR="00FB2790" w:rsidRPr="00FB2790" w:rsidRDefault="00FB2790" w:rsidP="00FB279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Със Заповед № 639 от19.12.2001 на Началника на НУГ-МЗГ са   включени площи от ПП “Русенски Лом” в Държавния </w:t>
      </w:r>
      <w:proofErr w:type="spellStart"/>
      <w:r w:rsidRPr="00FB2790">
        <w:rPr>
          <w:rFonts w:ascii="Times New Roman" w:eastAsia="Times New Roman" w:hAnsi="Times New Roman" w:cs="Times New Roman"/>
          <w:sz w:val="20"/>
          <w:szCs w:val="20"/>
        </w:rPr>
        <w:t>ловностопански</w:t>
      </w:r>
      <w:proofErr w:type="spellEnd"/>
      <w:r w:rsidRPr="00FB2790">
        <w:rPr>
          <w:rFonts w:ascii="Times New Roman" w:eastAsia="Times New Roman" w:hAnsi="Times New Roman" w:cs="Times New Roman"/>
          <w:sz w:val="20"/>
          <w:szCs w:val="20"/>
        </w:rPr>
        <w:t xml:space="preserve"> район “Русе”, отдели и подотдели: 89 а, б, 1, 2, 3; 90 а, б, в, г, д, 1, 2, 3, 4, 5, 6; 92 а, б, в, 1; 93 а, б, в, г, 1, 2; 94 а, б, в, г, д, е, ж, з, и, 1, 2, 3, 4, 5, 6, 7, 8, 9; 96 а, б, в, г, д, е, 1; 97 а, б, в, г, д, е, ж, з, и, 1, 2, 3, 4; 98 а; 106 а, б, в, 1, 2; 107 а, б, в, г, д, е, 1, 2; 108 а, б, в, г, д, е, ж, з, и, к, л, м, н, о, п, р, с, т, ъ, ф, х, ц, 1, 2, 3, 4, 5, 6, 7, 8 с площ 398,7 ха</w:t>
      </w:r>
    </w:p>
    <w:p w14:paraId="74D29BC3" w14:textId="77777777" w:rsidR="00FB2790" w:rsidRPr="00FB2790" w:rsidRDefault="00FB2790" w:rsidP="00FB2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4EAE6F17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b/>
          <w:sz w:val="20"/>
          <w:szCs w:val="20"/>
        </w:rPr>
        <w:t>Чл. 7</w:t>
      </w:r>
      <w:r w:rsidRPr="00FB2790">
        <w:rPr>
          <w:rFonts w:ascii="Times New Roman" w:eastAsia="Times New Roman" w:hAnsi="Times New Roman" w:cs="Times New Roman"/>
          <w:sz w:val="20"/>
          <w:szCs w:val="20"/>
        </w:rPr>
        <w:t>(3) В защитените територии стопанисването на дивеча се извършва съгласно техния режим и План за управление.</w:t>
      </w:r>
    </w:p>
    <w:p w14:paraId="14E8AAE3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CF07EA9" w14:textId="77777777" w:rsidR="00FB2790" w:rsidRPr="00FB2790" w:rsidRDefault="00FB2790" w:rsidP="00FB2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279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Закон за лова и опазване на дивеча /ДВ бр. 78 от 26.09. 2000/ г. </w:t>
      </w:r>
    </w:p>
    <w:p w14:paraId="580E6475" w14:textId="500BD3D0" w:rsidR="00EE3778" w:rsidRDefault="00EE3778" w:rsidP="00FB2790">
      <w:pPr>
        <w:spacing w:after="0" w:line="240" w:lineRule="auto"/>
        <w:ind w:firstLine="720"/>
        <w:jc w:val="right"/>
      </w:pPr>
    </w:p>
    <w:p w14:paraId="2BC18ED6" w14:textId="77777777" w:rsidR="006A1281" w:rsidRDefault="006A1281" w:rsidP="00FB2790">
      <w:pPr>
        <w:spacing w:after="0" w:line="240" w:lineRule="auto"/>
        <w:ind w:firstLine="720"/>
        <w:jc w:val="right"/>
      </w:pPr>
    </w:p>
    <w:p w14:paraId="5B4805FE" w14:textId="27F5F32B" w:rsidR="006A1281" w:rsidRPr="006A1281" w:rsidRDefault="006A1281" w:rsidP="006A1281">
      <w:pPr>
        <w:suppressAutoHyphens/>
        <w:spacing w:before="120" w:after="120" w:line="288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ar-SA"/>
        </w:rPr>
      </w:pPr>
      <w:r w:rsidRPr="006A1281">
        <w:rPr>
          <w:rFonts w:ascii="Garamond" w:eastAsia="Times New Roman" w:hAnsi="Garamond" w:cs="Times New Roman"/>
          <w:b/>
          <w:sz w:val="24"/>
          <w:szCs w:val="24"/>
          <w:lang w:eastAsia="ar-SA"/>
        </w:rPr>
        <w:t>КОНВЕНЦИИ И ЕВРОПЕЙСКИ ДИРЕКТИВИ</w:t>
      </w:r>
    </w:p>
    <w:p w14:paraId="6152482D" w14:textId="217E844D" w:rsidR="006A1281" w:rsidRPr="006A1281" w:rsidRDefault="006A1281" w:rsidP="006A1281">
      <w:pPr>
        <w:suppressAutoHyphens/>
        <w:spacing w:before="120" w:after="120" w:line="288" w:lineRule="auto"/>
        <w:jc w:val="center"/>
        <w:rPr>
          <w:rFonts w:ascii="Garamond" w:eastAsia="Times New Roman" w:hAnsi="Garamond" w:cs="Times New Roman"/>
          <w:b/>
          <w:sz w:val="24"/>
          <w:szCs w:val="24"/>
          <w:lang w:val="en-US" w:eastAsia="ar-SA"/>
        </w:rPr>
      </w:pPr>
      <w:bookmarkStart w:id="0" w:name="_GoBack"/>
      <w:r w:rsidRPr="006A1281">
        <w:rPr>
          <w:rFonts w:ascii="Garamond" w:eastAsia="Times New Roman" w:hAnsi="Garamond" w:cs="Times New Roman"/>
          <w:b/>
          <w:sz w:val="24"/>
          <w:szCs w:val="24"/>
          <w:lang w:eastAsia="ar-SA"/>
        </w:rPr>
        <w:t>които</w:t>
      </w:r>
      <w:r w:rsidRPr="006A1281">
        <w:rPr>
          <w:rFonts w:ascii="Garamond" w:eastAsia="Times New Roman" w:hAnsi="Garamond" w:cs="Times New Roman"/>
          <w:b/>
          <w:sz w:val="24"/>
          <w:szCs w:val="24"/>
          <w:lang w:eastAsia="ar-SA"/>
        </w:rPr>
        <w:t xml:space="preserve"> са отправните точки при определянето на основните цели и мерки, залегнали в настоящия План за управление.</w:t>
      </w:r>
    </w:p>
    <w:bookmarkEnd w:id="0"/>
    <w:p w14:paraId="2CA7DB9D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i/>
          <w:sz w:val="24"/>
          <w:szCs w:val="24"/>
        </w:rPr>
        <w:t>Директива 92/43/ ЕИО на Съвета от 21 май 1992 г. за опазване на естествените местообитания и на дивата флора и фауна</w:t>
      </w:r>
      <w:r w:rsidRPr="006A1281">
        <w:rPr>
          <w:rFonts w:ascii="Garamond" w:eastAsia="Times New Roman" w:hAnsi="Garamond" w:cs="Times New Roman"/>
          <w:sz w:val="24"/>
          <w:szCs w:val="24"/>
        </w:rPr>
        <w:t xml:space="preserve"> </w:t>
      </w:r>
    </w:p>
    <w:p w14:paraId="3EA0D3C7" w14:textId="77777777" w:rsidR="006A1281" w:rsidRPr="006A1281" w:rsidRDefault="006A1281" w:rsidP="006A1281">
      <w:pPr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t xml:space="preserve">Директивата посочва отговорността на държавите да съхранят приоритетни природни местообитания в тяхното естествено състояние. Тези местообитания трябва да се опазват в рамките на единна екологична мрежа, като се обявяват за специални защитени територии и се изготвят и прилагат планове за тяхното управление. </w:t>
      </w:r>
    </w:p>
    <w:p w14:paraId="3AE9468B" w14:textId="77777777" w:rsidR="006A1281" w:rsidRPr="006A1281" w:rsidRDefault="006A1281" w:rsidP="006A1281">
      <w:pPr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t xml:space="preserve">Плановете или проектите, които оказват неблагоприятно въздействие върху популациите на видовете или върху специалните защитени територии е необходимо да бъдат преразгледани за съвместимостта им с целите на управление. </w:t>
      </w:r>
    </w:p>
    <w:p w14:paraId="224426C1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i/>
          <w:sz w:val="24"/>
          <w:szCs w:val="24"/>
        </w:rPr>
        <w:t>Директива 79/409/ЕИО (Директива 2009/147/ЕО) за опазване на дивите птици</w:t>
      </w:r>
    </w:p>
    <w:p w14:paraId="2B8F6EF0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t xml:space="preserve">Най-старата европейска природозащитна директива, която изисква от държавите да вземат необходимите мерки за опазване на всички видове птици. Опазването включва: създаване на защитени територии; поддържане и управление в съответствие с екологичните нужди на местообитанията в и извън защитените територии; възстановяване на разрушените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</w:rPr>
        <w:t>биотопи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</w:rPr>
        <w:t xml:space="preserve">; създаване на нови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</w:rPr>
        <w:t>биотопи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</w:rPr>
        <w:t xml:space="preserve"> и забрана за обезпокояване на гнездящите птици и ограничаване на лова и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</w:rPr>
        <w:t>събирателската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</w:rPr>
        <w:t xml:space="preserve"> дейност. Актуализирана е през 2009 г., с оглед по-ефективното опазване на дивите птици.</w:t>
      </w:r>
    </w:p>
    <w:p w14:paraId="389FC933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b/>
          <w:i/>
          <w:sz w:val="24"/>
          <w:szCs w:val="24"/>
        </w:rPr>
      </w:pPr>
      <w:r w:rsidRPr="006A1281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6A1281">
        <w:rPr>
          <w:rFonts w:ascii="Garamond" w:eastAsia="Times New Roman" w:hAnsi="Garamond" w:cs="Times New Roman"/>
          <w:b/>
          <w:i/>
          <w:sz w:val="24"/>
          <w:szCs w:val="24"/>
        </w:rPr>
        <w:t>Други международни документи, по които Република България е страна и са свързани с опазване на биологичното разнообразие:</w:t>
      </w:r>
    </w:p>
    <w:p w14:paraId="64F68576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i/>
          <w:sz w:val="24"/>
          <w:szCs w:val="24"/>
        </w:rPr>
        <w:t>Конвенция за биологичното разнообразие</w:t>
      </w:r>
    </w:p>
    <w:p w14:paraId="606AFB33" w14:textId="77777777" w:rsidR="006A1281" w:rsidRPr="006A1281" w:rsidRDefault="006A1281" w:rsidP="006A1281">
      <w:pPr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t xml:space="preserve">Съгласно конвенцията, всяка страна трябва, съобразно собствените си условия и възможности, да разработи собствена,  национална стратегия, планове или програми за съхранение и разумно използване на биологичното разнообразие. </w:t>
      </w:r>
    </w:p>
    <w:p w14:paraId="0333AC9F" w14:textId="77777777" w:rsidR="006A1281" w:rsidRPr="006A1281" w:rsidRDefault="006A1281" w:rsidP="006A1281">
      <w:pPr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t>Страните допълнително се задължават да интегрират съхраняването и устойчивото ползване на биологичното разнообразие в съответните отраслови планове, програми и политики.</w:t>
      </w:r>
    </w:p>
    <w:p w14:paraId="7072021C" w14:textId="77777777" w:rsidR="006A1281" w:rsidRPr="006A1281" w:rsidRDefault="006A1281" w:rsidP="006A1281">
      <w:pPr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t xml:space="preserve">Държавите членки се задължават да предотвратяват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</w:rPr>
        <w:t>интродуцирането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</w:rPr>
        <w:t xml:space="preserve"> на чуждоземни видове, които заплашват екосистемите, местообитанията или видовете и да контролира и изкоренява такива видове.</w:t>
      </w:r>
    </w:p>
    <w:p w14:paraId="60C7EEC6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  <w:tab w:val="left" w:pos="1134"/>
        </w:tabs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i/>
          <w:sz w:val="24"/>
          <w:szCs w:val="24"/>
        </w:rPr>
        <w:t>Конвенция за опазване на дивата европейска флора и фауна и природните местообитания /Бернска/</w:t>
      </w:r>
    </w:p>
    <w:p w14:paraId="71200369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lastRenderedPageBreak/>
        <w:t>Конвенцията е създадена с цел опазване на видовете и местообитанията в Европа, и е подписана от всички европейски страни, членки на Европейския съюз. Тя изисква специално внимание на застрашените от изчезване и уязвимите видове, както и на застрашените местообитания.</w:t>
      </w:r>
    </w:p>
    <w:p w14:paraId="742FB90B" w14:textId="77777777" w:rsidR="006A1281" w:rsidRPr="006A1281" w:rsidRDefault="006A1281" w:rsidP="006A1281">
      <w:pPr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t xml:space="preserve">Договарящите страни се задължават да обръщат специално внимание на защитата на области, които са важни за мигриращите видове, като райони за зимуване, събиране, хранене и размножаване.  </w:t>
      </w:r>
    </w:p>
    <w:p w14:paraId="65DADC65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i/>
          <w:sz w:val="24"/>
          <w:szCs w:val="24"/>
        </w:rPr>
        <w:t>Конвенция за опазване на мигриращите видове диви животни /Бонска/</w:t>
      </w:r>
      <w:r w:rsidRPr="006A1281">
        <w:rPr>
          <w:rFonts w:ascii="Garamond" w:eastAsia="Times New Roman" w:hAnsi="Garamond" w:cs="Times New Roman"/>
          <w:sz w:val="24"/>
          <w:szCs w:val="24"/>
        </w:rPr>
        <w:t xml:space="preserve">  </w:t>
      </w:r>
    </w:p>
    <w:p w14:paraId="18460335" w14:textId="77777777" w:rsidR="006A1281" w:rsidRPr="006A1281" w:rsidRDefault="006A1281" w:rsidP="006A1281">
      <w:pPr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t xml:space="preserve">Конвенцията изисква съхраняване и възстановяване на местообитанията на мигриращите видове. Държавите е необходимо да предотвратяват и отстраняват вредните влияния от дейности или пречки, затрудняващи миграцията на видовете. Към конвенцията действат няколко специализирани споразумения, касаещи опазването на отделни групи или видове организми. От тях България е подписала споразуменията за прилепите, африканско-европейските мигриращи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</w:rPr>
        <w:t>водолюбиви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</w:rPr>
        <w:t xml:space="preserve"> птици и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</w:rPr>
        <w:t>тънкоклюният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</w:rPr>
        <w:t xml:space="preserve"> свирец.</w:t>
      </w:r>
    </w:p>
    <w:p w14:paraId="50F5CD0A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  <w:highlight w:val="yellow"/>
        </w:rPr>
      </w:pPr>
      <w:bookmarkStart w:id="1" w:name="_Toc129749976"/>
      <w:bookmarkStart w:id="2" w:name="_Toc129751148"/>
      <w:r w:rsidRPr="006A1281">
        <w:rPr>
          <w:rFonts w:ascii="Garamond" w:eastAsia="Times New Roman" w:hAnsi="Garamond" w:cs="Times New Roman"/>
          <w:i/>
          <w:sz w:val="24"/>
          <w:szCs w:val="24"/>
        </w:rPr>
        <w:t>Рамкова конвенция</w:t>
      </w:r>
      <w:r w:rsidRPr="006A1281">
        <w:rPr>
          <w:rFonts w:ascii="Garamond" w:eastAsia="Times New Roman" w:hAnsi="Garamond" w:cs="Times New Roman"/>
          <w:sz w:val="24"/>
          <w:szCs w:val="24"/>
        </w:rPr>
        <w:t xml:space="preserve"> на Обединените нации по изменение на климата, ратифицирана със закон, приет от 37-то Народно събрание на 16.03.1995 г.</w:t>
      </w:r>
    </w:p>
    <w:bookmarkEnd w:id="1"/>
    <w:bookmarkEnd w:id="2"/>
    <w:p w14:paraId="00C7C8BC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6A1281">
        <w:rPr>
          <w:rFonts w:ascii="Garamond" w:eastAsia="Times New Roman" w:hAnsi="Garamond" w:cs="Times New Roman"/>
          <w:i/>
          <w:sz w:val="24"/>
          <w:szCs w:val="24"/>
        </w:rPr>
        <w:t>Рамкова директива за водите 2000/60/ЕС</w:t>
      </w:r>
    </w:p>
    <w:p w14:paraId="0B6C8E72" w14:textId="77777777" w:rsidR="006A1281" w:rsidRPr="006A1281" w:rsidRDefault="006A1281" w:rsidP="006A1281">
      <w:pPr>
        <w:tabs>
          <w:tab w:val="left" w:pos="180"/>
          <w:tab w:val="left" w:pos="360"/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6A1281">
        <w:rPr>
          <w:rFonts w:ascii="Garamond" w:eastAsia="Times New Roman" w:hAnsi="Garamond" w:cs="Times New Roman"/>
          <w:sz w:val="24"/>
          <w:szCs w:val="24"/>
        </w:rPr>
        <w:t>Директивата установява рамка за защита на всички води (включително вътрешни повърхностни води, транзитни води, крайбрежни води и подпочвени води).</w:t>
      </w:r>
    </w:p>
    <w:p w14:paraId="5EA15D17" w14:textId="77777777" w:rsidR="006A1281" w:rsidRPr="006A1281" w:rsidRDefault="006A1281" w:rsidP="006A1281">
      <w:pPr>
        <w:tabs>
          <w:tab w:val="left" w:pos="425"/>
          <w:tab w:val="left" w:pos="567"/>
          <w:tab w:val="left" w:pos="709"/>
        </w:tabs>
        <w:spacing w:before="120" w:after="120" w:line="288" w:lineRule="auto"/>
        <w:jc w:val="both"/>
        <w:rPr>
          <w:rFonts w:ascii="Garamond" w:eastAsia="Times New Roman" w:hAnsi="Garamond" w:cs="Times New Roman"/>
          <w:bCs/>
          <w:sz w:val="24"/>
          <w:szCs w:val="24"/>
        </w:rPr>
      </w:pPr>
      <w:r w:rsidRPr="006A1281">
        <w:rPr>
          <w:rFonts w:ascii="Garamond" w:eastAsia="Times New Roman" w:hAnsi="Garamond" w:cs="Times New Roman"/>
          <w:bCs/>
          <w:sz w:val="24"/>
          <w:szCs w:val="24"/>
        </w:rPr>
        <w:t>Като цяло, директивата има за цел да подобри състоянието на всички води след 2015.</w:t>
      </w:r>
    </w:p>
    <w:p w14:paraId="6F7D311A" w14:textId="77777777" w:rsidR="006A1281" w:rsidRPr="006A1281" w:rsidRDefault="006A1281" w:rsidP="006A1281">
      <w:pPr>
        <w:suppressAutoHyphens/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6A1281">
        <w:rPr>
          <w:rFonts w:ascii="Garamond" w:eastAsia="Times New Roman" w:hAnsi="Garamond" w:cs="Times New Roman"/>
          <w:i/>
          <w:sz w:val="24"/>
          <w:szCs w:val="24"/>
          <w:lang w:eastAsia="ar-SA"/>
        </w:rPr>
        <w:t>НАТУРА 2000</w:t>
      </w:r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- Европейската общност, като договаряща страна по Бернската конвенция, с цел изпълнение на задълженията си по нея, приема през 1992 год., Директива 92/43/EEC и Директива 79/409/EEC, като основа за създаване на Европейската екологична мрежа НАТУРА 2000. Тази мрежа се създава с цел опазване на видове и природни местообитания от интерес за Европейската общност. Мрежата НАТУРА 2000 включва два типа защитени територии:  </w:t>
      </w:r>
    </w:p>
    <w:p w14:paraId="30D1B0A0" w14:textId="77777777" w:rsidR="006A1281" w:rsidRPr="006A1281" w:rsidRDefault="006A1281" w:rsidP="006A1281">
      <w:pPr>
        <w:suppressAutoHyphens/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1/ Територии, обявявани директно от страните-членки съгласно Директивата за птиците (т.нар. Специално защитени зони (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Special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Protection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Areas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)) и </w:t>
      </w:r>
    </w:p>
    <w:p w14:paraId="7771BF77" w14:textId="77777777" w:rsidR="006A1281" w:rsidRPr="006A1281" w:rsidRDefault="006A1281" w:rsidP="006A1281">
      <w:pPr>
        <w:suppressAutoHyphens/>
        <w:spacing w:before="120" w:after="120" w:line="288" w:lineRule="auto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2/ Територии, предложени от страните-членки и впоследствие разглеждани от Комисията съгласно процедура за селектиране на тези територии, съгласно Директивата за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хабитатите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. Това са т.нар. Специални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консервационни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зони (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Special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Areas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of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Conservation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).</w:t>
      </w:r>
    </w:p>
    <w:p w14:paraId="61CB3429" w14:textId="77777777" w:rsidR="006A1281" w:rsidRPr="006A1281" w:rsidRDefault="006A1281" w:rsidP="006A1281">
      <w:pPr>
        <w:suppressAutoHyphens/>
        <w:spacing w:before="120" w:after="120" w:line="288" w:lineRule="auto"/>
        <w:jc w:val="both"/>
        <w:rPr>
          <w:rFonts w:ascii="Garamond" w:eastAsia="Times New Roman" w:hAnsi="Garamond" w:cs="Times New Roman"/>
          <w:b/>
          <w:bCs/>
          <w:iCs/>
          <w:sz w:val="24"/>
          <w:szCs w:val="24"/>
          <w:lang w:val="en-GB" w:eastAsia="ar-SA"/>
        </w:rPr>
      </w:pPr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Управлението на тези територии е регламентирано чрез чл. 6 на Директивата за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хабитатите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. То цели предотвратяване на разрушаване на природните местообитания и на местообитанията на видове, както и безпокоене на видовете, за чието опазване са обявени териториите. Обявяването на такива територии не променя собствеността и дейностите в тях, ако тези дейности са природосъобразни, не вредят на целостта на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хабитатите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и на </w:t>
      </w:r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lastRenderedPageBreak/>
        <w:t xml:space="preserve">видовете, които се опазват. Цели се устойчиво управление на тези територии, което гарантира съчетаване на техните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консервационни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функции и същевременно осигурява ползи за местното население. Член 8 от Директивата за </w:t>
      </w:r>
      <w:proofErr w:type="spellStart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>хабитатите</w:t>
      </w:r>
      <w:proofErr w:type="spellEnd"/>
      <w:r w:rsidRPr="006A1281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е насочен към намиране на механизъм за финансиране управлението на местата по НАТУРА 2000, което е заложено в Европейския селскостопански фонд за околна среда и развитие на селските райони, 2007 – 2013.</w:t>
      </w:r>
      <w:r w:rsidRPr="006A1281">
        <w:rPr>
          <w:rFonts w:ascii="Garamond" w:eastAsia="Times New Roman" w:hAnsi="Garamond" w:cs="Times New Roman"/>
          <w:b/>
          <w:bCs/>
          <w:iCs/>
          <w:sz w:val="24"/>
          <w:szCs w:val="24"/>
          <w:lang w:val="en-GB" w:eastAsia="ar-SA"/>
        </w:rPr>
        <w:t xml:space="preserve"> </w:t>
      </w:r>
    </w:p>
    <w:p w14:paraId="3B916C3A" w14:textId="77777777" w:rsidR="006A1281" w:rsidRDefault="006A1281" w:rsidP="00FB2790">
      <w:pPr>
        <w:spacing w:after="0" w:line="240" w:lineRule="auto"/>
        <w:ind w:firstLine="720"/>
        <w:jc w:val="right"/>
      </w:pPr>
    </w:p>
    <w:p w14:paraId="54F1C7A8" w14:textId="77777777" w:rsidR="006A1281" w:rsidRDefault="006A1281" w:rsidP="00FB2790">
      <w:pPr>
        <w:spacing w:after="0" w:line="240" w:lineRule="auto"/>
        <w:ind w:firstLine="720"/>
        <w:jc w:val="right"/>
      </w:pPr>
    </w:p>
    <w:sectPr w:rsidR="006A128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52E72" w14:textId="77777777" w:rsidR="00CC092B" w:rsidRDefault="00CC092B" w:rsidP="004270F1">
      <w:pPr>
        <w:spacing w:after="0" w:line="240" w:lineRule="auto"/>
      </w:pPr>
      <w:r>
        <w:separator/>
      </w:r>
    </w:p>
  </w:endnote>
  <w:endnote w:type="continuationSeparator" w:id="0">
    <w:p w14:paraId="76E4CBEC" w14:textId="77777777" w:rsidR="00CC092B" w:rsidRDefault="00CC092B" w:rsidP="0042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75983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7D093B" w14:textId="77777777" w:rsidR="004D74E1" w:rsidRDefault="004D74E1" w:rsidP="004D74E1">
        <w:pPr>
          <w:pStyle w:val="Footer"/>
          <w:pBdr>
            <w:bottom w:val="single" w:sz="6" w:space="1" w:color="auto"/>
          </w:pBdr>
          <w:jc w:val="center"/>
        </w:pPr>
      </w:p>
      <w:p w14:paraId="4E182134" w14:textId="77777777" w:rsidR="004D74E1" w:rsidRPr="00706FED" w:rsidRDefault="004D74E1" w:rsidP="004D74E1">
        <w:pPr>
          <w:pStyle w:val="Footer"/>
          <w:pBdr>
            <w:bottom w:val="single" w:sz="6" w:space="1" w:color="auto"/>
          </w:pBdr>
          <w:jc w:val="center"/>
          <w:rPr>
            <w:rFonts w:ascii="Garamond" w:hAnsi="Garamond"/>
          </w:rPr>
        </w:pPr>
      </w:p>
      <w:p w14:paraId="490604F9" w14:textId="59D7FD2A" w:rsidR="004D74E1" w:rsidRPr="00706FED" w:rsidRDefault="004D74E1" w:rsidP="004D74E1">
        <w:pPr>
          <w:pStyle w:val="Footer"/>
          <w:pBdr>
            <w:bottom w:val="single" w:sz="6" w:space="1" w:color="auto"/>
          </w:pBdr>
          <w:jc w:val="center"/>
          <w:rPr>
            <w:rFonts w:ascii="Garamond" w:eastAsia="Times New Roman" w:hAnsi="Garamond" w:cs="Cambria"/>
            <w:i/>
            <w:iCs/>
            <w:lang w:eastAsia="bg-BG"/>
          </w:rPr>
        </w:pPr>
        <w:r w:rsidRPr="00706FED">
          <w:rPr>
            <w:rFonts w:ascii="Garamond" w:eastAsia="Times New Roman" w:hAnsi="Garamond" w:cs="Cambria"/>
            <w:i/>
            <w:iCs/>
            <w:lang w:eastAsia="bg-BG"/>
          </w:rPr>
          <w:t>Разработване на план за управление (актуализиран) на ПП „Русенски Лом“</w:t>
        </w:r>
      </w:p>
      <w:p w14:paraId="06F9AC3D" w14:textId="77777777" w:rsidR="004D74E1" w:rsidRPr="00706FED" w:rsidRDefault="004D74E1" w:rsidP="004D74E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Garamond" w:eastAsia="Times New Roman" w:hAnsi="Garamond" w:cs="Cambria"/>
            <w:lang w:eastAsia="bg-BG"/>
          </w:rPr>
        </w:pPr>
        <w:r w:rsidRPr="00706FED">
          <w:rPr>
            <w:rFonts w:ascii="Garamond" w:eastAsia="Times New Roman" w:hAnsi="Garamond" w:cs="Cambria"/>
            <w:lang w:eastAsia="bg-BG"/>
          </w:rPr>
          <w:t>Приложения</w:t>
        </w:r>
      </w:p>
      <w:p w14:paraId="71F159E6" w14:textId="0F522DC0" w:rsidR="004270F1" w:rsidRDefault="004270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28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E214506" w14:textId="77777777" w:rsidR="004270F1" w:rsidRDefault="004270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1F09E" w14:textId="77777777" w:rsidR="00CC092B" w:rsidRDefault="00CC092B" w:rsidP="004270F1">
      <w:pPr>
        <w:spacing w:after="0" w:line="240" w:lineRule="auto"/>
      </w:pPr>
      <w:r>
        <w:separator/>
      </w:r>
    </w:p>
  </w:footnote>
  <w:footnote w:type="continuationSeparator" w:id="0">
    <w:p w14:paraId="202DF271" w14:textId="77777777" w:rsidR="00CC092B" w:rsidRDefault="00CC092B" w:rsidP="00427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CB134" w14:textId="662AD253" w:rsidR="004D74E1" w:rsidRPr="00ED5A8B" w:rsidRDefault="004D74E1" w:rsidP="004D74E1">
    <w:pPr>
      <w:pStyle w:val="Header"/>
      <w:pBdr>
        <w:bottom w:val="single" w:sz="6" w:space="1" w:color="auto"/>
      </w:pBdr>
      <w:jc w:val="right"/>
      <w:rPr>
        <w:rFonts w:ascii="Times New Roman" w:eastAsia="Times New Roman" w:hAnsi="Times New Roman" w:cs="Times New Roman"/>
        <w:b/>
        <w:color w:val="000000"/>
        <w:sz w:val="32"/>
        <w:szCs w:val="32"/>
      </w:rPr>
    </w:pPr>
    <w:r w:rsidRPr="00ED5A8B">
      <w:rPr>
        <w:rFonts w:ascii="Times New Roman" w:eastAsia="Times New Roman" w:hAnsi="Times New Roman" w:cs="Times New Roman"/>
        <w:b/>
        <w:color w:val="000000"/>
        <w:sz w:val="32"/>
        <w:szCs w:val="32"/>
      </w:rPr>
      <w:t>ПРИЛОЖЕНИЕ 1.3.</w:t>
    </w:r>
  </w:p>
  <w:p w14:paraId="3A0EC459" w14:textId="77777777" w:rsidR="004D74E1" w:rsidRDefault="004D74E1" w:rsidP="004D74E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E2EA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246446"/>
    <w:multiLevelType w:val="multilevel"/>
    <w:tmpl w:val="52BC6164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4951700B"/>
    <w:multiLevelType w:val="multilevel"/>
    <w:tmpl w:val="43D484A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F62386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78"/>
    <w:rsid w:val="002239F4"/>
    <w:rsid w:val="0024609E"/>
    <w:rsid w:val="0042337D"/>
    <w:rsid w:val="004270F1"/>
    <w:rsid w:val="00444E1A"/>
    <w:rsid w:val="004D74E1"/>
    <w:rsid w:val="006A1281"/>
    <w:rsid w:val="00706FED"/>
    <w:rsid w:val="007E2BF9"/>
    <w:rsid w:val="00841BF2"/>
    <w:rsid w:val="00B05107"/>
    <w:rsid w:val="00C41B10"/>
    <w:rsid w:val="00CC092B"/>
    <w:rsid w:val="00D138E0"/>
    <w:rsid w:val="00ED4F67"/>
    <w:rsid w:val="00ED5A8B"/>
    <w:rsid w:val="00EE3778"/>
    <w:rsid w:val="00F908B1"/>
    <w:rsid w:val="00FB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A16FF"/>
  <w15:chartTrackingRefBased/>
  <w15:docId w15:val="{ED1927B7-BB1F-4431-849C-C578F41F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0F1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427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0F1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2991</Words>
  <Characters>17051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 Dimitrova</dc:creator>
  <cp:keywords/>
  <dc:description/>
  <cp:lastModifiedBy>Lyudmila Dimitrova</cp:lastModifiedBy>
  <cp:revision>6</cp:revision>
  <dcterms:created xsi:type="dcterms:W3CDTF">2019-06-04T17:50:00Z</dcterms:created>
  <dcterms:modified xsi:type="dcterms:W3CDTF">2020-04-01T10:52:00Z</dcterms:modified>
</cp:coreProperties>
</file>