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0C1A4" w14:textId="77777777" w:rsidR="002239F4" w:rsidRDefault="002239F4"/>
    <w:p w14:paraId="0C8B83F7" w14:textId="35C73659" w:rsidR="0091774D" w:rsidRPr="0091774D" w:rsidRDefault="0091774D" w:rsidP="0091774D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Garamond" w:eastAsia="Times New Roman" w:hAnsi="Garamond" w:cs="Times New Roman"/>
          <w:b/>
          <w:color w:val="000000"/>
          <w:sz w:val="32"/>
          <w:szCs w:val="32"/>
        </w:rPr>
      </w:pPr>
      <w:r w:rsidRPr="0091774D">
        <w:rPr>
          <w:rFonts w:ascii="Garamond" w:eastAsia="Times New Roman" w:hAnsi="Garamond" w:cs="Times New Roman"/>
          <w:b/>
          <w:color w:val="000000"/>
          <w:sz w:val="32"/>
          <w:szCs w:val="32"/>
        </w:rPr>
        <w:t>ПРИЛОЖЕНИЕ 1.</w:t>
      </w:r>
      <w:r>
        <w:rPr>
          <w:rFonts w:ascii="Garamond" w:eastAsia="Times New Roman" w:hAnsi="Garamond" w:cs="Times New Roman"/>
          <w:b/>
          <w:color w:val="000000"/>
          <w:sz w:val="32"/>
          <w:szCs w:val="32"/>
        </w:rPr>
        <w:t>21.1.1</w:t>
      </w:r>
    </w:p>
    <w:p w14:paraId="5F525ED7" w14:textId="77777777" w:rsidR="0091774D" w:rsidRPr="0091774D" w:rsidRDefault="0091774D" w:rsidP="0091774D">
      <w:pPr>
        <w:spacing w:after="0" w:line="240" w:lineRule="auto"/>
        <w:ind w:firstLine="720"/>
        <w:jc w:val="right"/>
        <w:rPr>
          <w:rFonts w:ascii="Garamond" w:eastAsia="Times New Roman" w:hAnsi="Garamond" w:cs="Times New Roman"/>
          <w:b/>
          <w:color w:val="000000"/>
          <w:sz w:val="32"/>
          <w:szCs w:val="32"/>
        </w:rPr>
      </w:pPr>
    </w:p>
    <w:p w14:paraId="7FCF85B4" w14:textId="367CD644" w:rsidR="00550F00" w:rsidRPr="00C56EAE" w:rsidRDefault="00550F00" w:rsidP="0091774D">
      <w:pPr>
        <w:spacing w:after="120" w:line="276" w:lineRule="auto"/>
        <w:jc w:val="center"/>
        <w:outlineLvl w:val="3"/>
        <w:rPr>
          <w:rFonts w:ascii="Garamond" w:eastAsia="Calibri" w:hAnsi="Garamond" w:cs="Times New Roman"/>
          <w:b/>
          <w:sz w:val="24"/>
          <w:lang w:eastAsia="bg-BG"/>
        </w:rPr>
      </w:pPr>
      <w:r w:rsidRPr="00C56EAE">
        <w:rPr>
          <w:rFonts w:ascii="Garamond" w:eastAsia="Calibri" w:hAnsi="Garamond" w:cs="Times New Roman"/>
          <w:b/>
          <w:sz w:val="24"/>
          <w:lang w:eastAsia="bg-BG"/>
        </w:rPr>
        <w:t>Уязвимост по отношение на констатирани антропогенни въздействия и дейности, както и уязвимостта от естествени фактори.</w:t>
      </w:r>
    </w:p>
    <w:p w14:paraId="231EC711" w14:textId="77777777" w:rsidR="007B63B9" w:rsidRPr="007B63B9" w:rsidRDefault="007B63B9" w:rsidP="007B63B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EC796B6" w14:textId="77777777" w:rsidR="007B63B9" w:rsidRPr="0091774D" w:rsidRDefault="007B63B9" w:rsidP="007B63B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  <w:r w:rsidRPr="0091774D">
        <w:rPr>
          <w:rFonts w:ascii="Garamond" w:eastAsia="Times New Roman" w:hAnsi="Garamond" w:cs="Arial"/>
          <w:sz w:val="20"/>
          <w:szCs w:val="20"/>
        </w:rPr>
        <w:t xml:space="preserve">СТЕПЕНИ: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ниска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 -  средна  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 xml:space="preserve">+++ 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висока</w:t>
      </w:r>
    </w:p>
    <w:p w14:paraId="79EDC584" w14:textId="77777777" w:rsidR="007B63B9" w:rsidRPr="007B63B9" w:rsidRDefault="007B63B9" w:rsidP="007B63B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31BF4D78" w14:textId="77777777" w:rsidR="007B63B9" w:rsidRPr="007B63B9" w:rsidRDefault="007B63B9" w:rsidP="007B63B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6804"/>
      </w:tblGrid>
      <w:tr w:rsidR="007B63B9" w:rsidRPr="00FD448A" w14:paraId="2CB442FF" w14:textId="77777777" w:rsidTr="006B2D7B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130BB975" w14:textId="77777777" w:rsidR="007B63B9" w:rsidRPr="00FD448A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shd w:val="pct20" w:color="000000" w:fill="FFFFFF"/>
          </w:tcPr>
          <w:p w14:paraId="43D66E35" w14:textId="77777777" w:rsidR="007B63B9" w:rsidRPr="00FD448A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СТЕПЕН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144EC3A5" w14:textId="77777777" w:rsidR="007B63B9" w:rsidRPr="00FD448A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ПРИЧИНИ / ОСНОВАНИЯ</w:t>
            </w:r>
          </w:p>
        </w:tc>
      </w:tr>
      <w:tr w:rsidR="007B63B9" w:rsidRPr="00FD448A" w14:paraId="7A88BC2E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8C4D6" w14:textId="77777777" w:rsidR="007B63B9" w:rsidRPr="0091774D" w:rsidRDefault="007B63B9" w:rsidP="007B63B9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ПРИРОДНИ</w:t>
            </w:r>
            <w:r w:rsidRPr="0091774D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МЕСТО</w:t>
            </w:r>
          </w:p>
          <w:p w14:paraId="01A420B6" w14:textId="77777777" w:rsidR="007B63B9" w:rsidRPr="00FD448A" w:rsidRDefault="007B63B9" w:rsidP="007B63B9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08786DD" w14:textId="464436BE" w:rsidR="007B63B9" w:rsidRPr="00FD448A" w:rsidRDefault="00FD448A" w:rsidP="007B63B9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FD448A">
              <w:rPr>
                <w:rFonts w:ascii="Garamond" w:eastAsia="Times New Roman" w:hAnsi="Garamond" w:cs="Arial"/>
                <w:b/>
              </w:rPr>
              <w:t>+++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70DC" w14:textId="77777777" w:rsidR="00550F00" w:rsidRPr="00FD448A" w:rsidRDefault="00550F00" w:rsidP="007B63B9">
            <w:pPr>
              <w:spacing w:after="0" w:line="240" w:lineRule="auto"/>
              <w:jc w:val="both"/>
              <w:rPr>
                <w:rFonts w:ascii="Garamond" w:eastAsia="Calibri" w:hAnsi="Garamond" w:cs="Times New Roman"/>
                <w:lang w:eastAsia="bg-BG"/>
              </w:rPr>
            </w:pP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От природните местообитания, като най-уязвими са определени 6 типа: 1 храстово (40A0*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Субконтинентални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пери-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панонски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храстови съобщества), 3 тревни (6110* Отворени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калцифилни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или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базифилни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тревни съобщества от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>Alysso-Sedion</w:t>
            </w:r>
            <w:proofErr w:type="spellEnd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>albi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, 6240*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Субпанонски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степни тревни съобщества и 6250*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Панонски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льосови степни тревни съобщества) и 2 типа горски </w:t>
            </w:r>
            <w:r w:rsidRPr="00C56EAE">
              <w:rPr>
                <w:rFonts w:ascii="Garamond" w:eastAsia="Calibri" w:hAnsi="Garamond" w:cs="Times New Roman"/>
                <w:lang w:val="en-US" w:eastAsia="bg-BG"/>
              </w:rPr>
              <w:t>(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91Е0* Алувиални гори с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>Alnus</w:t>
            </w:r>
            <w:proofErr w:type="spellEnd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>glutinosa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и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>Fraxinus</w:t>
            </w:r>
            <w:proofErr w:type="spellEnd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>excelsior</w:t>
            </w:r>
            <w:proofErr w:type="spellEnd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 xml:space="preserve"> 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>(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>Alno-Pandion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,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>Alnion</w:t>
            </w:r>
            <w:proofErr w:type="spellEnd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lang w:val="en-US" w:eastAsia="bg-BG"/>
              </w:rPr>
              <w:t>i</w:t>
            </w:r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>ncanae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,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>Salicion</w:t>
            </w:r>
            <w:proofErr w:type="spellEnd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>albae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 и </w:t>
            </w:r>
            <w:r w:rsidRPr="00C56EAE">
              <w:rPr>
                <w:rFonts w:ascii="Garamond" w:eastAsia="Calibri" w:hAnsi="Garamond" w:cs="Times New Roman"/>
                <w:lang w:val="en-US" w:eastAsia="bg-BG"/>
              </w:rPr>
              <w:t xml:space="preserve">91Z0 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>Мизийски гори от</w:t>
            </w:r>
            <w:r w:rsidRPr="00C56EAE">
              <w:rPr>
                <w:rFonts w:ascii="Garamond" w:eastAsia="Calibri" w:hAnsi="Garamond" w:cs="Times New Roman"/>
                <w:lang w:val="en-US"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сребролистна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липа</w:t>
            </w:r>
            <w:r w:rsidRPr="00C56EAE">
              <w:rPr>
                <w:rFonts w:ascii="Garamond" w:eastAsia="Calibri" w:hAnsi="Garamond" w:cs="Times New Roman"/>
                <w:lang w:val="en-US" w:eastAsia="bg-BG"/>
              </w:rPr>
              <w:t xml:space="preserve"> 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>(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lang w:val="en-US" w:eastAsia="bg-BG"/>
              </w:rPr>
              <w:t>Tilia</w:t>
            </w:r>
            <w:proofErr w:type="spellEnd"/>
            <w:r w:rsidRPr="00C56EAE">
              <w:rPr>
                <w:rFonts w:ascii="Garamond" w:eastAsia="Calibri" w:hAnsi="Garamond" w:cs="Times New Roman"/>
                <w:i/>
                <w:lang w:val="en-US"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i/>
                <w:lang w:val="en-US" w:eastAsia="bg-BG"/>
              </w:rPr>
              <w:t>tomentosa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</w:t>
            </w:r>
            <w:r w:rsidRPr="00C56EAE">
              <w:rPr>
                <w:rFonts w:ascii="Garamond" w:eastAsia="Calibri" w:hAnsi="Garamond" w:cs="Times New Roman"/>
                <w:lang w:val="en-US" w:eastAsia="bg-BG"/>
              </w:rPr>
              <w:t>)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. </w:t>
            </w:r>
          </w:p>
          <w:p w14:paraId="12FC77B3" w14:textId="4D550964" w:rsidR="007B63B9" w:rsidRPr="00FD448A" w:rsidRDefault="00550F00" w:rsidP="00550F00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От естествените фактори, към които са уязвими местообитанията, това са пожарите, възникнали от екстремни природни явления за всички типове местообитания и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захрастяването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за тревните типове местообитания. От антропогенните фактори от особено значение са пожарите, вследствие на антропогенната дейност за всички местообитания, изземването на скална маса и липсата на паша за тревните местообитания, разпространението на инвазивни дървесни видове в естествените горски насаждения и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сечите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в крайречните гори при провеждане на дейности за прочистване на речните </w:t>
            </w:r>
            <w:r w:rsidR="00FD448A" w:rsidRPr="00C56EAE">
              <w:rPr>
                <w:rFonts w:ascii="Garamond" w:eastAsia="Calibri" w:hAnsi="Garamond" w:cs="Times New Roman"/>
                <w:lang w:eastAsia="bg-BG"/>
              </w:rPr>
              <w:t>корита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>.</w:t>
            </w:r>
          </w:p>
        </w:tc>
      </w:tr>
      <w:tr w:rsidR="007B63B9" w:rsidRPr="00FD448A" w14:paraId="784B4A3E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59FF" w14:textId="03092996" w:rsidR="007B63B9" w:rsidRPr="00FD448A" w:rsidRDefault="00FD448A" w:rsidP="007B63B9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b/>
                <w:lang w:val="ru-RU"/>
              </w:rPr>
              <w:t>В</w:t>
            </w:r>
            <w:r w:rsidRPr="00FD448A">
              <w:rPr>
                <w:rFonts w:ascii="Garamond" w:eastAsia="Times New Roman" w:hAnsi="Garamond" w:cs="Arial"/>
                <w:b/>
                <w:lang w:val="ru-RU"/>
              </w:rPr>
              <w:t>идове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F07491" w14:textId="304B6666" w:rsidR="00FD448A" w:rsidRDefault="00FD448A" w:rsidP="007B63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+++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/</w:t>
            </w:r>
          </w:p>
          <w:p w14:paraId="31316C98" w14:textId="57A4129F" w:rsidR="007B63B9" w:rsidRPr="00FD448A" w:rsidRDefault="00FD448A" w:rsidP="00FD448A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9746" w14:textId="48CFA035" w:rsidR="007B63B9" w:rsidRPr="00FD448A" w:rsidRDefault="00550F00" w:rsidP="00FD448A">
            <w:pPr>
              <w:spacing w:after="120" w:line="276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lang w:val="en-US"/>
              </w:rPr>
            </w:pP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Четири вида </w:t>
            </w:r>
            <w:r w:rsidRPr="00C56EAE">
              <w:rPr>
                <w:rFonts w:ascii="Garamond" w:eastAsia="Calibri" w:hAnsi="Garamond" w:cs="Times New Roman"/>
                <w:b/>
                <w:lang w:eastAsia="bg-BG"/>
              </w:rPr>
              <w:t>растения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са с висока степен на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уязвимиост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- Ковачевият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зановец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,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Четириръбата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жълтуга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, Сибирската телчарка и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Пърчовката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, като последните два вида са дори застрашени. Със средна степен на уязвимост са останалите четири вида, включени в Приложение 3 на ЗБР </w:t>
            </w:r>
            <w:r w:rsidRPr="00C56EAE">
              <w:rPr>
                <w:rFonts w:ascii="Garamond" w:eastAsia="Calibri" w:hAnsi="Garamond" w:cs="Times New Roman"/>
                <w:lang w:val="en-US" w:eastAsia="bg-BG"/>
              </w:rPr>
              <w:t>(</w:t>
            </w:r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>Таблица 1.14.1</w:t>
            </w:r>
            <w:r w:rsidRPr="00C56EAE">
              <w:rPr>
                <w:rFonts w:ascii="Garamond" w:eastAsia="Calibri" w:hAnsi="Garamond" w:cs="Times New Roman"/>
                <w:i/>
                <w:lang w:val="en-US" w:eastAsia="bg-BG"/>
              </w:rPr>
              <w:t>(</w:t>
            </w:r>
            <w:r w:rsidRPr="00C56EAE">
              <w:rPr>
                <w:rFonts w:ascii="Garamond" w:eastAsia="Calibri" w:hAnsi="Garamond" w:cs="Times New Roman"/>
                <w:i/>
                <w:lang w:eastAsia="bg-BG"/>
              </w:rPr>
              <w:t>2</w:t>
            </w:r>
            <w:r w:rsidRPr="00C56EAE">
              <w:rPr>
                <w:rFonts w:ascii="Garamond" w:eastAsia="Calibri" w:hAnsi="Garamond" w:cs="Times New Roman"/>
                <w:i/>
                <w:lang w:val="en-US" w:eastAsia="bg-BG"/>
              </w:rPr>
              <w:t>)</w:t>
            </w:r>
            <w:r w:rsidRPr="00C56EAE">
              <w:rPr>
                <w:rFonts w:ascii="Garamond" w:eastAsia="Calibri" w:hAnsi="Garamond" w:cs="Times New Roman"/>
                <w:lang w:val="en-US" w:eastAsia="bg-BG"/>
              </w:rPr>
              <w:t>)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. Тяхното опазване е свързано с опазването на находищата и местообитанията им. </w:t>
            </w:r>
          </w:p>
        </w:tc>
      </w:tr>
      <w:tr w:rsidR="00550F00" w:rsidRPr="00FD448A" w14:paraId="10077454" w14:textId="77777777" w:rsidTr="00261129">
        <w:trPr>
          <w:trHeight w:val="247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0F86" w14:textId="27E3E1BA" w:rsidR="00550F00" w:rsidRPr="00FD448A" w:rsidRDefault="00550F00" w:rsidP="00550F00">
            <w:pPr>
              <w:spacing w:after="0" w:line="240" w:lineRule="auto"/>
              <w:jc w:val="both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FD448A">
              <w:rPr>
                <w:rFonts w:ascii="Garamond" w:eastAsia="Times New Roman" w:hAnsi="Garamond" w:cs="Arial"/>
                <w:b/>
                <w:bCs/>
                <w:lang w:val="ru-RU"/>
              </w:rPr>
              <w:t>ФАУНА</w:t>
            </w:r>
          </w:p>
        </w:tc>
      </w:tr>
      <w:tr w:rsidR="00550F00" w:rsidRPr="00FD448A" w14:paraId="6DBB237B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6D70" w14:textId="637FAF18" w:rsidR="00550F00" w:rsidRPr="00FD448A" w:rsidRDefault="00550F00" w:rsidP="00550F00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lang w:eastAsia="bg-BG"/>
              </w:rPr>
            </w:pPr>
            <w:r w:rsidRPr="00FD448A">
              <w:rPr>
                <w:rFonts w:ascii="Garamond" w:eastAsia="Calibri" w:hAnsi="Garamond" w:cs="Times New Roman"/>
                <w:b/>
                <w:lang w:eastAsia="bg-BG"/>
              </w:rPr>
              <w:t>Б</w:t>
            </w:r>
            <w:r w:rsidRPr="00C56EAE">
              <w:rPr>
                <w:rFonts w:ascii="Garamond" w:eastAsia="Calibri" w:hAnsi="Garamond" w:cs="Times New Roman"/>
                <w:b/>
                <w:lang w:eastAsia="bg-BG"/>
              </w:rPr>
              <w:t>озайници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927515" w14:textId="77777777" w:rsidR="00FD448A" w:rsidRDefault="00FD448A" w:rsidP="00FD4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+++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/</w:t>
            </w:r>
          </w:p>
          <w:p w14:paraId="6390268B" w14:textId="39A275FB" w:rsidR="00550F00" w:rsidRPr="00FD448A" w:rsidRDefault="00FD448A" w:rsidP="00FD448A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9FED" w14:textId="46593F46" w:rsidR="00550F00" w:rsidRPr="00FD448A" w:rsidRDefault="00550F00" w:rsidP="00FD448A">
            <w:pPr>
              <w:spacing w:after="120" w:line="276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C56EAE">
              <w:rPr>
                <w:rFonts w:ascii="Garamond" w:eastAsia="Calibri" w:hAnsi="Garamond" w:cs="Times New Roman"/>
                <w:b/>
                <w:lang w:eastAsia="bg-BG"/>
              </w:rPr>
              <w:t>с най-висока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степен на уязвимост са 4 вида - лалугер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Spermophilus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citellus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),  обикновен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хомяк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Cricetus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cricetus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), добруджански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хомяк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Mesocricetus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newtoni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 и малък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хомяк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Cricetulus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migratorius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). Обща заплаха за тези четири вида е редуцирането и влошаването на състоянието на откритите тревни съобщества, които се явяват тяхно основно местообитание. Тези четири вида, и най-вече лалугерът, представляват значим елемент от хранителната база за голям брой уязвими видове птици и бозайници. </w:t>
            </w:r>
            <w:r w:rsidRPr="00C56EAE">
              <w:rPr>
                <w:rFonts w:ascii="Garamond" w:eastAsia="Calibri" w:hAnsi="Garamond" w:cs="Times New Roman"/>
                <w:b/>
                <w:lang w:eastAsia="bg-BG"/>
              </w:rPr>
              <w:t>Със средна степен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на уязвимост са 27 вида бозайници. От тях степният пор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Mustela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eversmanni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 и пъстрият пор са пряко зависими от състоянието на посочените по-горе четири вида гризачи. Вълкът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Canis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lupus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 е уязвим от състоянието на ловно-стопанските видове бозайници, 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lastRenderedPageBreak/>
              <w:t>непряко от бракониерството и използването на отрови за регулиране на хищници и гризачи. Благородния елен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Cervus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elaphus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 е уязвим от бракониерство и отчасти от земеделските практики. Като средно уязвими са оценени всичките 23 вида прилепи. Най-значими общи заплахи за прилепите са химизацията в селското стопанство (преди всичко използването на инсектициди), състоянието на старите гори и безпокойството на колониите на видовете, обитаващи пещери. </w:t>
            </w:r>
          </w:p>
        </w:tc>
      </w:tr>
      <w:tr w:rsidR="00550F00" w:rsidRPr="00FD448A" w14:paraId="1AC2E346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2869" w14:textId="7CB3C28B" w:rsidR="00550F00" w:rsidRPr="00DE7AF5" w:rsidRDefault="00550F00" w:rsidP="00550F00">
            <w:pPr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u w:val="single"/>
              </w:rPr>
            </w:pPr>
            <w:bookmarkStart w:id="0" w:name="_GoBack" w:colFirst="0" w:colLast="0"/>
            <w:r w:rsidRPr="00DE7AF5">
              <w:rPr>
                <w:rFonts w:ascii="Garamond" w:eastAsia="Calibri" w:hAnsi="Garamond" w:cs="Times New Roman"/>
                <w:b/>
                <w:sz w:val="20"/>
                <w:szCs w:val="20"/>
                <w:lang w:eastAsia="bg-BG"/>
              </w:rPr>
              <w:lastRenderedPageBreak/>
              <w:t>Птици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E3A18F" w14:textId="77777777" w:rsidR="00FD448A" w:rsidRDefault="00FD448A" w:rsidP="00FD4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+++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/</w:t>
            </w:r>
          </w:p>
          <w:p w14:paraId="71552566" w14:textId="7AB9B101" w:rsidR="00550F00" w:rsidRPr="00FD448A" w:rsidRDefault="00FD448A" w:rsidP="00FD448A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BCE1" w14:textId="74DA623A" w:rsidR="00550F00" w:rsidRPr="00FD448A" w:rsidRDefault="00550F00" w:rsidP="00FD448A">
            <w:pPr>
              <w:spacing w:after="120" w:line="276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с </w:t>
            </w:r>
            <w:r w:rsidRPr="00C56EAE">
              <w:rPr>
                <w:rFonts w:ascii="Garamond" w:eastAsia="Calibri" w:hAnsi="Garamond" w:cs="Times New Roman"/>
                <w:b/>
                <w:lang w:eastAsia="bg-BG"/>
              </w:rPr>
              <w:t>най-висока степен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на уязвимост са 18 вида: египетски лешояд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Neophron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percnopterus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), черен щъркел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Ciconia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nigra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), малък орел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Hieraaetus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pennatus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), малък креслив орел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Aquila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pomarina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), орел змияр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Circаеtus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gallicus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), 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белоопашат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мишелов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Buteo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rufinus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), орел рибар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Pandion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haliaetus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), бухал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Bubo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bubo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),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синявица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Coracias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garrulus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), среден пъстър кълвач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Dendrocopos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medius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). В тази група на силно уязвими птици следва да се причислят и 8 вида птици, които са били типични за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Поломието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, но през втората половина на 20-ти век са изчезнали трайно (по реда на изчезването им от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Поломието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): черен лешояд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Aegypius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monachus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), белоглав лешояд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Gyps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fulvus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), царски орел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Aquila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heliaca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), гълъб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хралупар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Columba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oenas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),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белошипа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ветрушка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Falco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naumanni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), ловен сокол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Falco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cherrug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), скален орел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Aquila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chrysaetos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 и червен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ангъч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Tadorna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ferruginea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). При целенасочени мерки възстановяването на тези видове е възможно. Генерална заплаха за групата на силно уязвимите видове птици е маломерност и фрагментация на благоприятните местообитания в границите на парка. При всички от горепосочените видове индивидуалните гнездови територии са по-големи от парковата територия. Други общи заплахи са: интензивно земеделие в териториите около парка, употреба на пестициди, унищожаване на тревни местообитания, употреба на отрови за регулиране числеността на хищници и гризачи,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необезопасена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електропреносна мрежа, влошаване качеството на горските местообитания, безпокойство и бракониерство. Потенциална заплаха, която може да има критично силно негативно въздействие, е изграждане на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ветроенергийни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централи в близост до парковата територия. Допълнителни специфични заплахи за черния щъркел и орела рибар, а в близкото минало и за червения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ангъч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, са нестабилност в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рибопроизводството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и липса на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акваекологични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практики. Някои от рибовъдните басейни временно или дългосрочно са изоставени и не се стопанисват. При видовете птици със </w:t>
            </w:r>
            <w:r w:rsidRPr="00C56EAE">
              <w:rPr>
                <w:rFonts w:ascii="Garamond" w:eastAsia="Calibri" w:hAnsi="Garamond" w:cs="Times New Roman"/>
                <w:b/>
                <w:lang w:eastAsia="bg-BG"/>
              </w:rPr>
              <w:t>средна степен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на уязвимост (идентифицирани са 50 вида) заплахите са идентични с гореописаните за видовете със силна степен на уязвимост. Условно са приети за по-слабо уязвими поради по-висока екологична пластичност, по-малки индивидуални гнездови територии или по-многочислени популации.</w:t>
            </w:r>
          </w:p>
        </w:tc>
      </w:tr>
      <w:tr w:rsidR="00550F00" w:rsidRPr="00FD448A" w14:paraId="6DFEEA22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312A" w14:textId="0E03A3D9" w:rsidR="00550F00" w:rsidRPr="00DE7AF5" w:rsidRDefault="00550F00" w:rsidP="00550F00">
            <w:pPr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u w:val="single"/>
              </w:rPr>
            </w:pPr>
            <w:r w:rsidRPr="00DE7AF5">
              <w:rPr>
                <w:rFonts w:ascii="Garamond" w:eastAsia="Times New Roman" w:hAnsi="Garamond" w:cs="Arial"/>
                <w:sz w:val="20"/>
                <w:szCs w:val="20"/>
              </w:rPr>
              <w:t>В</w:t>
            </w:r>
            <w:r w:rsidRPr="00DE7AF5">
              <w:rPr>
                <w:rFonts w:ascii="Garamond" w:eastAsia="Calibri" w:hAnsi="Garamond" w:cs="Times New Roman"/>
                <w:b/>
                <w:sz w:val="20"/>
                <w:szCs w:val="20"/>
                <w:lang w:eastAsia="bg-BG"/>
              </w:rPr>
              <w:t>лечуги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CEDC2" w14:textId="77777777" w:rsidR="00FD448A" w:rsidRDefault="00FD448A" w:rsidP="00FD4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+++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/</w:t>
            </w:r>
          </w:p>
          <w:p w14:paraId="7B8804E7" w14:textId="0519F7FB" w:rsidR="00550F00" w:rsidRPr="00FD448A" w:rsidRDefault="00FD448A" w:rsidP="00FD448A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FA4B" w14:textId="3F9B0B95" w:rsidR="00550F00" w:rsidRPr="00FD448A" w:rsidRDefault="00550F00" w:rsidP="00FD448A">
            <w:pPr>
              <w:spacing w:after="120" w:line="276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с </w:t>
            </w:r>
            <w:r w:rsidRPr="00C56EAE">
              <w:rPr>
                <w:rFonts w:ascii="Garamond" w:eastAsia="Calibri" w:hAnsi="Garamond" w:cs="Times New Roman"/>
                <w:b/>
                <w:lang w:eastAsia="bg-BG"/>
              </w:rPr>
              <w:t>висока степен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на уязвимост са двата вида сухоземни костенурки: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шипобедрената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костенурка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Testudo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graeca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 и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шипоопашата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костенурка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Testudo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hermanni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). И при двата вида се отчита фрагментация на местообитанията и понижаване на плътността на популациите. Допълнителен фактор с потенциално високо значение е бракониерството. Като особен случай на влечуги с висока степен на уязвимост следва да се 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lastRenderedPageBreak/>
              <w:t>разглеждат още пъстрият смок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Elaphe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sauromates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 и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жълтокоремникът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Pseudopus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apodus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). Тези два вида се считат за изчезнали от района на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Поломието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, но предвид скрития им начин на живот, този им статус следва да се разглежда условно. През 2009 г. пъстър смок беше установен в хранителни остатъци на египетски лешояд, гнездящ на територията на парка. Това е указание, че пъстрият смок вероятно все още се среща в района, включително в границите на парка, но е твърде малочислен. Възможно е състоянието на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жълтокоремника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да е сходно с това на пъстрия смок. При земноводните и влечугите със средна степен на уязвимост са определени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червенокоремната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бумка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Bombina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bombina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), дунавският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гребенест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тритон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Triturus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dobrogicus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>) и обикновената блатна костенурка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Emys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orbicularis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). Общи заплахи за тези видове са неустойчивост в стопанисването на рибовъдните стопанства, липса на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акваекологични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практики и влошено качество на водите в речната система. В малко по-ниска степен тези заплахи са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относими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и към всичките останали земноводни в парка (още 9 вида).</w:t>
            </w:r>
          </w:p>
        </w:tc>
      </w:tr>
      <w:tr w:rsidR="00550F00" w:rsidRPr="00FD448A" w14:paraId="0B9AA461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E20B" w14:textId="72CE5C74" w:rsidR="00550F00" w:rsidRPr="00DE7AF5" w:rsidRDefault="00550F00" w:rsidP="00550F00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0"/>
                <w:szCs w:val="20"/>
              </w:rPr>
            </w:pPr>
            <w:r w:rsidRPr="00DE7AF5">
              <w:rPr>
                <w:rFonts w:ascii="Garamond" w:eastAsia="Times New Roman" w:hAnsi="Garamond" w:cs="Arial"/>
                <w:b/>
                <w:sz w:val="20"/>
                <w:szCs w:val="20"/>
              </w:rPr>
              <w:lastRenderedPageBreak/>
              <w:t>Риби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5774A" w14:textId="235B97D6" w:rsidR="00550F00" w:rsidRPr="00FD448A" w:rsidRDefault="00FD448A" w:rsidP="00FD448A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5409" w14:textId="09539764" w:rsidR="00550F00" w:rsidRPr="00FD448A" w:rsidRDefault="00550F00" w:rsidP="00FD448A">
            <w:pPr>
              <w:spacing w:after="120" w:line="276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C56EAE">
              <w:rPr>
                <w:rFonts w:ascii="Garamond" w:eastAsia="Calibri" w:hAnsi="Garamond" w:cs="Times New Roman"/>
                <w:lang w:eastAsia="bg-BG"/>
              </w:rPr>
              <w:t>За размножаването си рибата горчивка 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Rhodeus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amarus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 е зависима от наличието на живи речни миди, което я прави силно уязвим вид. През последните години видът е установен в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Поломието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с единични екземпляри далеч от границите на парка. Това силно контрастира  със състоянието на вида в близко разположеното долно течение на р. Янтра, където горчивката е представена с многочислени популации. Основни заплахи за рибите в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Поломието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са лошото качество на водата, наличието на миграционни бариери и редуцирането на част от ценните местообитания. Понастоящем в парка се срещат само видове риби с широко разпространение и висока екологична пластичност, поради което условно всички видове риби освен горчивката се приемат за средно уязвими.</w:t>
            </w:r>
          </w:p>
        </w:tc>
      </w:tr>
      <w:tr w:rsidR="007B63B9" w:rsidRPr="00FD448A" w14:paraId="1D7AF826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50AF" w14:textId="216390DC" w:rsidR="007B63B9" w:rsidRPr="00DE7AF5" w:rsidRDefault="00550F00" w:rsidP="00550F00">
            <w:pPr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u w:val="single"/>
              </w:rPr>
            </w:pPr>
            <w:r w:rsidRPr="00DE7AF5">
              <w:rPr>
                <w:rFonts w:ascii="Garamond" w:eastAsia="Calibri" w:hAnsi="Garamond" w:cs="Times New Roman"/>
                <w:b/>
                <w:sz w:val="20"/>
                <w:szCs w:val="20"/>
                <w:lang w:eastAsia="bg-BG"/>
              </w:rPr>
              <w:t xml:space="preserve">Безгръбначни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240A3" w14:textId="5854BEC4" w:rsidR="007B63B9" w:rsidRPr="00FD448A" w:rsidRDefault="00FD448A" w:rsidP="00FD448A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7B63B9">
              <w:rPr>
                <w:rFonts w:ascii="Arial" w:eastAsia="Times New Roman" w:hAnsi="Arial" w:cs="Arial"/>
                <w:b/>
                <w:sz w:val="20"/>
                <w:szCs w:val="20"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EBBF" w14:textId="41433AAF" w:rsidR="007B63B9" w:rsidRPr="00FD448A" w:rsidRDefault="00550F00" w:rsidP="00FD448A">
            <w:pPr>
              <w:spacing w:after="120" w:line="276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От с </w:t>
            </w:r>
            <w:r w:rsidRPr="00C56EAE">
              <w:rPr>
                <w:rFonts w:ascii="Garamond" w:eastAsia="Calibri" w:hAnsi="Garamond" w:cs="Times New Roman"/>
                <w:b/>
                <w:lang w:eastAsia="bg-BG"/>
              </w:rPr>
              <w:t>висока степен</w:t>
            </w:r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на уязвимост е бисерната мида (син. овална речна мида)(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Unio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crassus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). През последните години в </w:t>
            </w:r>
            <w:proofErr w:type="spellStart"/>
            <w:r w:rsidRPr="00C56EAE">
              <w:rPr>
                <w:rFonts w:ascii="Garamond" w:eastAsia="Calibri" w:hAnsi="Garamond" w:cs="Times New Roman"/>
                <w:lang w:eastAsia="bg-BG"/>
              </w:rPr>
              <w:t>Поломието</w:t>
            </w:r>
            <w:proofErr w:type="spellEnd"/>
            <w:r w:rsidRPr="00C56EAE">
              <w:rPr>
                <w:rFonts w:ascii="Garamond" w:eastAsia="Calibri" w:hAnsi="Garamond" w:cs="Times New Roman"/>
                <w:lang w:eastAsia="bg-BG"/>
              </w:rPr>
              <w:t xml:space="preserve"> са намирани единични живи екземпляри. Най-голяма заплаха за вида е замърсяването на реките. Отчитани са концентрации на нитрати, превишаващи повече от 3 пъти стойностите, толерирани от вида.</w:t>
            </w:r>
          </w:p>
        </w:tc>
      </w:tr>
      <w:bookmarkEnd w:id="0"/>
    </w:tbl>
    <w:p w14:paraId="118E83BA" w14:textId="77777777" w:rsidR="007B63B9" w:rsidRPr="007B63B9" w:rsidRDefault="007B63B9" w:rsidP="007B63B9">
      <w:pPr>
        <w:spacing w:after="0" w:line="240" w:lineRule="auto"/>
        <w:rPr>
          <w:rFonts w:ascii="Arial" w:eastAsia="Times New Roman" w:hAnsi="Arial" w:cs="Arial"/>
          <w:b/>
          <w:snapToGrid w:val="0"/>
          <w:color w:val="000000"/>
          <w:sz w:val="20"/>
          <w:szCs w:val="20"/>
        </w:rPr>
      </w:pPr>
    </w:p>
    <w:p w14:paraId="356DB486" w14:textId="77777777" w:rsidR="007B63B9" w:rsidRPr="007B63B9" w:rsidRDefault="007B63B9" w:rsidP="007B63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CB343FB" w14:textId="77777777" w:rsidR="007B63B9" w:rsidRPr="007B63B9" w:rsidRDefault="007B63B9" w:rsidP="007B63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sectPr w:rsidR="007B63B9" w:rsidRPr="007B63B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F280A" w14:textId="77777777" w:rsidR="00C57B24" w:rsidRDefault="00C57B24" w:rsidP="00033042">
      <w:pPr>
        <w:spacing w:after="0" w:line="240" w:lineRule="auto"/>
      </w:pPr>
      <w:r>
        <w:separator/>
      </w:r>
    </w:p>
  </w:endnote>
  <w:endnote w:type="continuationSeparator" w:id="0">
    <w:p w14:paraId="7FDF8D39" w14:textId="77777777" w:rsidR="00C57B24" w:rsidRDefault="00C57B24" w:rsidP="00033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B41C4" w14:textId="50685BC6" w:rsidR="00033042" w:rsidRPr="00183353" w:rsidRDefault="00033042" w:rsidP="00033042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r w:rsidRPr="00183353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14:paraId="5D06FF40" w14:textId="77777777" w:rsidR="00033042" w:rsidRPr="00183353" w:rsidRDefault="00033042" w:rsidP="00033042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183353">
      <w:rPr>
        <w:rFonts w:ascii="Garamond" w:eastAsia="Times New Roman" w:hAnsi="Garamond" w:cs="Cambria"/>
        <w:lang w:eastAsia="bg-BG"/>
      </w:rPr>
      <w:t>Приложения</w:t>
    </w:r>
  </w:p>
  <w:p w14:paraId="7D9A2F0E" w14:textId="071F2202" w:rsidR="00033042" w:rsidRDefault="00033042">
    <w:pPr>
      <w:pStyle w:val="Footer"/>
    </w:pPr>
  </w:p>
  <w:p w14:paraId="52CCE47A" w14:textId="77777777" w:rsidR="00033042" w:rsidRDefault="000330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02FF2" w14:textId="77777777" w:rsidR="00C57B24" w:rsidRDefault="00C57B24" w:rsidP="00033042">
      <w:pPr>
        <w:spacing w:after="0" w:line="240" w:lineRule="auto"/>
      </w:pPr>
      <w:r>
        <w:separator/>
      </w:r>
    </w:p>
  </w:footnote>
  <w:footnote w:type="continuationSeparator" w:id="0">
    <w:p w14:paraId="52C90EBF" w14:textId="77777777" w:rsidR="00C57B24" w:rsidRDefault="00C57B24" w:rsidP="00033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265"/>
    <w:multiLevelType w:val="hybridMultilevel"/>
    <w:tmpl w:val="B83C5D2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A7488"/>
    <w:multiLevelType w:val="hybridMultilevel"/>
    <w:tmpl w:val="9ACC311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01E13"/>
    <w:multiLevelType w:val="hybridMultilevel"/>
    <w:tmpl w:val="8BE4326E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93964"/>
    <w:multiLevelType w:val="hybridMultilevel"/>
    <w:tmpl w:val="FAA66C9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634BC"/>
    <w:multiLevelType w:val="hybridMultilevel"/>
    <w:tmpl w:val="4476F03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752BD"/>
    <w:multiLevelType w:val="hybridMultilevel"/>
    <w:tmpl w:val="1B5E23A2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D7BED"/>
    <w:multiLevelType w:val="hybridMultilevel"/>
    <w:tmpl w:val="5F26A31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F08BA"/>
    <w:multiLevelType w:val="hybridMultilevel"/>
    <w:tmpl w:val="007846D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E5AA6"/>
    <w:multiLevelType w:val="hybridMultilevel"/>
    <w:tmpl w:val="99D88E54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8712B"/>
    <w:multiLevelType w:val="hybridMultilevel"/>
    <w:tmpl w:val="36081FF6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F06A7"/>
    <w:multiLevelType w:val="hybridMultilevel"/>
    <w:tmpl w:val="BC20ABCC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D0FAE"/>
    <w:multiLevelType w:val="hybridMultilevel"/>
    <w:tmpl w:val="743458A8"/>
    <w:lvl w:ilvl="0" w:tplc="D2E2CA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CF4B23"/>
    <w:multiLevelType w:val="hybridMultilevel"/>
    <w:tmpl w:val="6192BE0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D253F"/>
    <w:multiLevelType w:val="hybridMultilevel"/>
    <w:tmpl w:val="BAC6DABE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85CA2"/>
    <w:multiLevelType w:val="hybridMultilevel"/>
    <w:tmpl w:val="85CC5374"/>
    <w:lvl w:ilvl="0" w:tplc="0EE4C5A2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50E14"/>
    <w:multiLevelType w:val="hybridMultilevel"/>
    <w:tmpl w:val="9F82CA0A"/>
    <w:lvl w:ilvl="0" w:tplc="213A29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12BD2"/>
    <w:multiLevelType w:val="hybridMultilevel"/>
    <w:tmpl w:val="62E8D33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657C8"/>
    <w:multiLevelType w:val="hybridMultilevel"/>
    <w:tmpl w:val="040CBB1C"/>
    <w:lvl w:ilvl="0" w:tplc="FFFFFFFF">
      <w:start w:val="1"/>
      <w:numFmt w:val="bullet"/>
      <w:lvlText w:val="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"/>
  </w:num>
  <w:num w:numId="4">
    <w:abstractNumId w:val="14"/>
  </w:num>
  <w:num w:numId="5">
    <w:abstractNumId w:val="16"/>
  </w:num>
  <w:num w:numId="6">
    <w:abstractNumId w:val="0"/>
  </w:num>
  <w:num w:numId="7">
    <w:abstractNumId w:val="12"/>
  </w:num>
  <w:num w:numId="8">
    <w:abstractNumId w:val="15"/>
  </w:num>
  <w:num w:numId="9">
    <w:abstractNumId w:val="7"/>
  </w:num>
  <w:num w:numId="10">
    <w:abstractNumId w:val="4"/>
  </w:num>
  <w:num w:numId="11">
    <w:abstractNumId w:val="3"/>
  </w:num>
  <w:num w:numId="12">
    <w:abstractNumId w:val="9"/>
  </w:num>
  <w:num w:numId="13">
    <w:abstractNumId w:val="11"/>
  </w:num>
  <w:num w:numId="14">
    <w:abstractNumId w:val="2"/>
  </w:num>
  <w:num w:numId="15">
    <w:abstractNumId w:val="8"/>
  </w:num>
  <w:num w:numId="16">
    <w:abstractNumId w:val="5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3B9"/>
    <w:rsid w:val="00033042"/>
    <w:rsid w:val="002239F4"/>
    <w:rsid w:val="0024609E"/>
    <w:rsid w:val="003E7794"/>
    <w:rsid w:val="004E34F8"/>
    <w:rsid w:val="00550F00"/>
    <w:rsid w:val="007972E4"/>
    <w:rsid w:val="007B63B9"/>
    <w:rsid w:val="007E2BF9"/>
    <w:rsid w:val="00841BF2"/>
    <w:rsid w:val="0091774D"/>
    <w:rsid w:val="00987E8F"/>
    <w:rsid w:val="00B04DEF"/>
    <w:rsid w:val="00B05107"/>
    <w:rsid w:val="00C41B10"/>
    <w:rsid w:val="00C57B24"/>
    <w:rsid w:val="00D138E0"/>
    <w:rsid w:val="00DE7AF5"/>
    <w:rsid w:val="00FD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A57DC"/>
  <w15:chartTrackingRefBased/>
  <w15:docId w15:val="{2DFB0A36-F552-435F-BBF8-BF4AD635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7B63B9"/>
    <w:pPr>
      <w:numPr>
        <w:numId w:val="4"/>
      </w:numPr>
      <w:tabs>
        <w:tab w:val="clear" w:pos="720"/>
        <w:tab w:val="left" w:pos="360"/>
      </w:tabs>
      <w:spacing w:after="0" w:line="240" w:lineRule="auto"/>
      <w:ind w:left="0" w:firstLine="0"/>
    </w:pPr>
    <w:rPr>
      <w:rFonts w:ascii="Arial" w:eastAsia="Times New Roman" w:hAnsi="Arial" w:cs="Arial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3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04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3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04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4</cp:revision>
  <dcterms:created xsi:type="dcterms:W3CDTF">2020-04-22T06:24:00Z</dcterms:created>
  <dcterms:modified xsi:type="dcterms:W3CDTF">2020-04-22T07:12:00Z</dcterms:modified>
</cp:coreProperties>
</file>