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A52" w:rsidRDefault="00CC4A52" w:rsidP="00CC4A52">
      <w:pPr>
        <w:numPr>
          <w:ilvl w:val="12"/>
          <w:numId w:val="0"/>
        </w:numPr>
        <w:tabs>
          <w:tab w:val="center" w:pos="4320"/>
          <w:tab w:val="right" w:pos="8640"/>
        </w:tabs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5315A0">
        <w:rPr>
          <w:rFonts w:ascii="Arial Narrow" w:eastAsia="Times New Roman" w:hAnsi="Arial Narrow" w:cs="Times New Roman"/>
          <w:sz w:val="20"/>
          <w:szCs w:val="20"/>
        </w:rPr>
        <w:t xml:space="preserve">  </w:t>
      </w:r>
    </w:p>
    <w:p w:rsidR="008B0396" w:rsidRPr="008B0396" w:rsidRDefault="008B0396" w:rsidP="008B0396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8B0396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ПРИЛОЖЕНИЕ 1.2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4</w:t>
      </w:r>
      <w:r w:rsidR="001A070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(1)</w:t>
      </w:r>
      <w:r w:rsidRPr="008B0396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</w:t>
      </w:r>
    </w:p>
    <w:p w:rsidR="008B0396" w:rsidRPr="008B0396" w:rsidRDefault="008B0396" w:rsidP="008B039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8B0396" w:rsidRPr="005315A0" w:rsidRDefault="008B0396" w:rsidP="00CC4A52">
      <w:pPr>
        <w:numPr>
          <w:ilvl w:val="12"/>
          <w:numId w:val="0"/>
        </w:numPr>
        <w:tabs>
          <w:tab w:val="center" w:pos="4320"/>
          <w:tab w:val="right" w:pos="8640"/>
        </w:tabs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C4A52" w:rsidRPr="005315A0" w:rsidRDefault="00CC4A52" w:rsidP="00CC4A52">
      <w:pPr>
        <w:numPr>
          <w:ilvl w:val="12"/>
          <w:numId w:val="0"/>
        </w:numPr>
        <w:tabs>
          <w:tab w:val="center" w:pos="4320"/>
          <w:tab w:val="right" w:pos="8640"/>
        </w:tabs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5315A0">
        <w:rPr>
          <w:rFonts w:ascii="Arial Narrow" w:eastAsia="Times New Roman" w:hAnsi="Arial Narrow" w:cs="Times New Roman"/>
          <w:sz w:val="20"/>
          <w:szCs w:val="20"/>
        </w:rPr>
        <w:t>ПРЕГЛЕД НА ИЗПЪЛНЕНИЕТО НА ЦЕЛИТЕ И ЗАДАЧИТЕ</w:t>
      </w:r>
    </w:p>
    <w:p w:rsidR="00CC4A52" w:rsidRPr="005315A0" w:rsidRDefault="00CC4A52" w:rsidP="00CC4A52">
      <w:pPr>
        <w:numPr>
          <w:ilvl w:val="12"/>
          <w:numId w:val="0"/>
        </w:numPr>
        <w:tabs>
          <w:tab w:val="center" w:pos="4320"/>
          <w:tab w:val="right" w:pos="8640"/>
        </w:tabs>
        <w:spacing w:after="0" w:line="240" w:lineRule="auto"/>
        <w:ind w:firstLine="851"/>
        <w:jc w:val="both"/>
        <w:rPr>
          <w:rFonts w:ascii="Arial Narrow" w:eastAsia="Times New Roman" w:hAnsi="Arial Narrow" w:cs="Arial"/>
          <w:sz w:val="20"/>
          <w:szCs w:val="20"/>
        </w:rPr>
      </w:pPr>
    </w:p>
    <w:p w:rsidR="00CC4A52" w:rsidRPr="005315A0" w:rsidRDefault="00CC4A52" w:rsidP="00CC4A52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</w:p>
    <w:p w:rsidR="00CC4A52" w:rsidRPr="005315A0" w:rsidRDefault="00CC4A52" w:rsidP="00A7523D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5315A0">
        <w:rPr>
          <w:rFonts w:ascii="Arial Narrow" w:eastAsia="Times New Roman" w:hAnsi="Arial Narrow" w:cs="Times New Roman"/>
          <w:sz w:val="20"/>
          <w:szCs w:val="20"/>
        </w:rPr>
        <w:t>ПРЕРАЗГЛЕЖДАНЕ НА ЗАДАЧИТЕ</w:t>
      </w: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5315A0">
        <w:rPr>
          <w:rFonts w:ascii="Arial Narrow" w:eastAsia="Times New Roman" w:hAnsi="Arial Narrow" w:cs="Times New Roman"/>
          <w:sz w:val="20"/>
          <w:szCs w:val="20"/>
        </w:rPr>
        <w:t>Схема за текуща отчетност и контрол по изпълнение на проектите, дейностите и задачите, включени в плана за управление</w:t>
      </w: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5315A0">
        <w:rPr>
          <w:rFonts w:ascii="Arial Narrow" w:eastAsia="Times New Roman" w:hAnsi="Arial Narrow" w:cs="Times New Roman"/>
          <w:sz w:val="20"/>
          <w:szCs w:val="20"/>
        </w:rPr>
        <w:t>Предложената схема може да се използва на различни нива в Дирекцията и за ежегоден преглед от ИАГ/МОСВ на изпълнението на ПУ.</w:t>
      </w: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:rsidR="00CC4A52" w:rsidRPr="005315A0" w:rsidRDefault="00CC4A52" w:rsidP="00CC4A52">
      <w:pPr>
        <w:keepNext/>
        <w:spacing w:before="240" w:after="60" w:line="240" w:lineRule="auto"/>
        <w:outlineLvl w:val="1"/>
        <w:rPr>
          <w:rFonts w:ascii="Arial Narrow" w:eastAsia="Times New Roman" w:hAnsi="Arial Narrow" w:cs="Times New Roman"/>
          <w:bCs/>
          <w:sz w:val="20"/>
          <w:szCs w:val="20"/>
        </w:rPr>
      </w:pPr>
      <w:r w:rsidRPr="005315A0">
        <w:rPr>
          <w:rFonts w:ascii="Arial Narrow" w:eastAsia="Times New Roman" w:hAnsi="Arial Narrow" w:cs="Times New Roman"/>
          <w:bCs/>
          <w:sz w:val="20"/>
          <w:szCs w:val="20"/>
        </w:rPr>
        <w:t xml:space="preserve">Отчет за периода </w:t>
      </w:r>
      <w:r w:rsidR="00F15925" w:rsidRPr="005315A0">
        <w:rPr>
          <w:rFonts w:ascii="Arial Narrow" w:eastAsia="Times New Roman" w:hAnsi="Arial Narrow" w:cs="Times New Roman"/>
          <w:bCs/>
          <w:sz w:val="20"/>
          <w:szCs w:val="20"/>
        </w:rPr>
        <w:t>2005-2014</w:t>
      </w: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Times New Roman"/>
          <w:snapToGrid w:val="0"/>
          <w:color w:val="000000"/>
          <w:sz w:val="20"/>
          <w:szCs w:val="20"/>
        </w:rPr>
      </w:pPr>
      <w:r w:rsidRPr="005315A0">
        <w:rPr>
          <w:rFonts w:ascii="Arial Narrow" w:eastAsia="Times New Roman" w:hAnsi="Arial Narrow" w:cs="Times New Roman"/>
          <w:snapToGrid w:val="0"/>
          <w:color w:val="000000"/>
          <w:sz w:val="20"/>
          <w:szCs w:val="20"/>
        </w:rPr>
        <w:t>Отговорник</w:t>
      </w:r>
      <w:r w:rsidR="005315A0" w:rsidRPr="005315A0">
        <w:rPr>
          <w:rFonts w:ascii="Arial Narrow" w:eastAsia="Times New Roman" w:hAnsi="Arial Narrow" w:cs="Times New Roman"/>
          <w:snapToGrid w:val="0"/>
          <w:color w:val="000000"/>
          <w:sz w:val="20"/>
          <w:szCs w:val="20"/>
        </w:rPr>
        <w:t xml:space="preserve"> ДПП РУСЕНСКИ ЛОМ (ДППРЛ)</w:t>
      </w: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Arial"/>
          <w:snapToGrid w:val="0"/>
          <w:color w:val="000000"/>
          <w:sz w:val="20"/>
          <w:szCs w:val="20"/>
        </w:rPr>
      </w:pP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Arial"/>
          <w:snapToGrid w:val="0"/>
          <w:color w:val="000000"/>
          <w:sz w:val="20"/>
          <w:szCs w:val="20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3"/>
        <w:gridCol w:w="2017"/>
        <w:gridCol w:w="2056"/>
        <w:gridCol w:w="433"/>
        <w:gridCol w:w="834"/>
        <w:gridCol w:w="1409"/>
        <w:gridCol w:w="971"/>
        <w:gridCol w:w="1575"/>
        <w:gridCol w:w="1422"/>
        <w:gridCol w:w="1580"/>
      </w:tblGrid>
      <w:tr w:rsidR="00CC4A52" w:rsidRPr="005315A0" w:rsidTr="005315A0">
        <w:trPr>
          <w:cantSplit/>
          <w:trHeight w:val="247"/>
          <w:tblHeader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Проект/</w:t>
            </w:r>
          </w:p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Оперативна дейност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Участници в задачата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86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Състояние на изпълнението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% на изпълнение на задачата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Проблеми</w:t>
            </w:r>
          </w:p>
          <w:p w:rsidR="00CC4A52" w:rsidRPr="005315A0" w:rsidRDefault="00CC4A52" w:rsidP="005315A0">
            <w:pPr>
              <w:tabs>
                <w:tab w:val="center" w:pos="1365"/>
                <w:tab w:val="left" w:pos="190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z w:val="20"/>
                <w:szCs w:val="20"/>
              </w:rPr>
              <w:t>Действия</w:t>
            </w:r>
          </w:p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z w:val="20"/>
                <w:szCs w:val="20"/>
              </w:rPr>
              <w:t>за решаване на проблема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z w:val="20"/>
                <w:szCs w:val="20"/>
              </w:rPr>
              <w:t>От какво/кого зависи</w:t>
            </w:r>
          </w:p>
        </w:tc>
      </w:tr>
      <w:tr w:rsidR="00CC4A52" w:rsidRPr="005315A0" w:rsidTr="005315A0">
        <w:trPr>
          <w:cantSplit/>
          <w:trHeight w:val="247"/>
          <w:tblHeader/>
        </w:trPr>
        <w:tc>
          <w:tcPr>
            <w:tcW w:w="2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предишен отчет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в момента</w:t>
            </w:r>
          </w:p>
        </w:tc>
        <w:tc>
          <w:tcPr>
            <w:tcW w:w="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C4A52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52" w:rsidRPr="005315A0" w:rsidRDefault="00CC4A52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</w:t>
            </w:r>
          </w:p>
        </w:tc>
      </w:tr>
      <w:tr w:rsidR="00606205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205" w:rsidRPr="005315A0" w:rsidRDefault="00F1592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4.2.1.1</w:t>
            </w:r>
          </w:p>
        </w:tc>
        <w:tc>
          <w:tcPr>
            <w:tcW w:w="779" w:type="pct"/>
            <w:tcBorders>
              <w:left w:val="nil"/>
            </w:tcBorders>
            <w:vAlign w:val="center"/>
          </w:tcPr>
          <w:p w:rsidR="00606205" w:rsidRPr="005315A0" w:rsidRDefault="0060620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Разширяване границите на ПП “Русенски Лом'’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205" w:rsidRPr="005315A0" w:rsidRDefault="00F1592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 Русенски Лом; Областна управа Русе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06205" w:rsidRPr="005315A0" w:rsidRDefault="0060620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1-3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6205" w:rsidRPr="005315A0" w:rsidRDefault="0060620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33CC33"/>
            <w:vAlign w:val="center"/>
          </w:tcPr>
          <w:p w:rsidR="00606205" w:rsidRPr="005315A0" w:rsidRDefault="00F1592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Внесено е предложение в МОСВ от Областна администрация Русе, изготвено от ДПП Русенски Лом и КПНП Русенски Лом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06205" w:rsidRPr="005315A0" w:rsidRDefault="00F1592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05" w:rsidRPr="005315A0" w:rsidRDefault="00F1592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Изготвено е предложение за разширение границите на ПП, на основа направени проучвания на биологичното разнообразие и е внесено в МОСВ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205" w:rsidRPr="005315A0" w:rsidRDefault="00F1592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Предприемане на действия за провеждане на процедура за разширяване на границите от МОСВ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205" w:rsidRPr="005315A0" w:rsidRDefault="00F1592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МОСВ</w:t>
            </w:r>
          </w:p>
        </w:tc>
      </w:tr>
      <w:tr w:rsidR="00606205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205" w:rsidRPr="005315A0" w:rsidRDefault="00F1592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4.2.1.2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</w:tcBorders>
            <w:vAlign w:val="center"/>
          </w:tcPr>
          <w:p w:rsidR="00606205" w:rsidRPr="005315A0" w:rsidRDefault="0060620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Проучване на възможностите за </w:t>
            </w: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реинтродукция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на </w:t>
            </w: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видове от флората и фауната типични за степни местообитания/</w:t>
            </w: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хабигати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/ в ПП “Русенски Лом”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205" w:rsidRPr="005315A0" w:rsidRDefault="00F1592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ДПП Русенски Лом, БАН, НПО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06205" w:rsidRPr="005315A0" w:rsidRDefault="0045461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6205" w:rsidRPr="005315A0" w:rsidRDefault="0060620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0000"/>
            <w:vAlign w:val="center"/>
          </w:tcPr>
          <w:p w:rsidR="00606205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Проектът е важен за опазване на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видовете и местообитанията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06205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05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Липсата на средства и възможности за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финансиране от програми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205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Осигуряване на средства през следващия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програмен период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205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От позицията на РБ и организациите,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занимаващи се с опазване на биоразнообразието</w:t>
            </w:r>
          </w:p>
        </w:tc>
      </w:tr>
      <w:tr w:rsidR="00A86C7B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4.2.1.3.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Проучване на възможностите за </w:t>
            </w: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реинтродукция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на</w:t>
            </w:r>
          </w:p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изчезнали видове от ихтиофауната в ПП “Русенски Лом”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 Русенски Лом, БАН, НПО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A86C7B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4.2.1.4.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86C7B" w:rsidRPr="005315A0" w:rsidRDefault="00A86C7B" w:rsidP="005315A0">
            <w:pPr>
              <w:pStyle w:val="BodyText"/>
              <w:shd w:val="clear" w:color="auto" w:fill="auto"/>
              <w:spacing w:before="0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Мерки за опазване на</w:t>
            </w:r>
          </w:p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Сибирската телчарка </w:t>
            </w:r>
            <w:r w:rsidRPr="005315A0">
              <w:rPr>
                <w:rStyle w:val="2"/>
                <w:rFonts w:ascii="Arial Narrow" w:hAnsi="Arial Narrow"/>
                <w:color w:val="000000"/>
                <w:sz w:val="20"/>
                <w:szCs w:val="20"/>
              </w:rPr>
              <w:t xml:space="preserve">{Polygala </w:t>
            </w:r>
            <w:proofErr w:type="spellStart"/>
            <w:r w:rsidRPr="005315A0">
              <w:rPr>
                <w:rStyle w:val="2"/>
                <w:rFonts w:ascii="Arial Narrow" w:hAnsi="Arial Narrow"/>
                <w:color w:val="000000"/>
                <w:sz w:val="20"/>
                <w:szCs w:val="20"/>
              </w:rPr>
              <w:t>sibirica,L</w:t>
            </w:r>
            <w:proofErr w:type="spellEnd"/>
            <w:r w:rsidRPr="005315A0">
              <w:rPr>
                <w:rStyle w:val="2"/>
                <w:rFonts w:ascii="Arial Narrow" w:hAnsi="Arial Narrow"/>
                <w:color w:val="000000"/>
                <w:sz w:val="20"/>
                <w:szCs w:val="20"/>
              </w:rPr>
              <w:t>.)</w:t>
            </w:r>
            <w:r w:rsidRPr="005315A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в ПП “Русенски Лом”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A86C7B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4.2.1.5</w:t>
            </w:r>
          </w:p>
        </w:tc>
        <w:tc>
          <w:tcPr>
            <w:tcW w:w="779" w:type="pct"/>
            <w:tcBorders>
              <w:left w:val="nil"/>
              <w:bottom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Макромицети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в ПП “Русе</w:t>
            </w:r>
            <w:bookmarkStart w:id="0" w:name="_GoBack"/>
            <w:bookmarkEnd w:id="0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нски Лом”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 Русенски Лом, БАН, НПО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3-4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Липса на </w:t>
            </w:r>
            <w:r w:rsidR="000A0A26"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възможност за изпълнение и неотложна необходимост от проекта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Изпълнение на проекта през следващия програмен период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7B" w:rsidRPr="005315A0" w:rsidRDefault="00A86C7B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 и възможности за финансиране</w:t>
            </w:r>
          </w:p>
        </w:tc>
      </w:tr>
      <w:tr w:rsidR="000A0A26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Опазване на </w:t>
            </w: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хидробионтната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фауна/ихтиофауна и земноводни/ по поречията на реките в ПП “Русенски Лом”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 Русенски Лом, БАН, НПО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Липса на средства и ангажименти за изпълнението на дейността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Изпълнението на проекта е важно за опазването на видовете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 и възможности за финансиране</w:t>
            </w:r>
          </w:p>
        </w:tc>
      </w:tr>
      <w:tr w:rsidR="000A0A26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4.2.1.7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Установяване на конкурентните взаимоотношения на грабливите птици при хранителните компоненти, видовия </w:t>
            </w: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състав и </w:t>
            </w: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срещаемост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на жертвите в ПП Русенски Лом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ДППРЛ, НПО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Установени са проблеми при осигуряване на хранителната база на грабливите птици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Подпомагане на земеделските производители за използване на щадящи ОС препарати за РЗ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Държавната политика за подпомагане и контрол на земеделските производители</w:t>
            </w:r>
          </w:p>
        </w:tc>
      </w:tr>
      <w:tr w:rsidR="000A0A26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4.2.1.8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pStyle w:val="BodyText"/>
              <w:shd w:val="clear" w:color="auto" w:fill="auto"/>
              <w:spacing w:before="0"/>
              <w:ind w:firstLine="0"/>
              <w:jc w:val="center"/>
              <w:rPr>
                <w:rFonts w:ascii="Arial Narrow" w:eastAsia="Times New Roman" w:hAnsi="Arial Narrow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Проучване на </w:t>
            </w:r>
            <w:r w:rsidR="00736CF3"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разпространен </w:t>
            </w: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ето и мерки за опазването на Видрата (</w:t>
            </w:r>
            <w:proofErr w:type="spellStart"/>
            <w:r w:rsidRPr="005315A0">
              <w:rPr>
                <w:rFonts w:ascii="Arial Narrow" w:hAnsi="Arial Narrow"/>
                <w:i/>
                <w:color w:val="000000"/>
                <w:sz w:val="20"/>
                <w:szCs w:val="20"/>
                <w:lang w:val="en-US"/>
              </w:rPr>
              <w:t>Lutra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5A0">
              <w:rPr>
                <w:rStyle w:val="2"/>
                <w:rFonts w:ascii="Arial Narrow" w:hAnsi="Arial Narrow"/>
                <w:color w:val="000000"/>
                <w:sz w:val="20"/>
                <w:szCs w:val="20"/>
              </w:rPr>
              <w:t>lutra</w:t>
            </w:r>
            <w:proofErr w:type="spellEnd"/>
            <w:r w:rsidRPr="005315A0">
              <w:rPr>
                <w:rStyle w:val="2"/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БАН, НПО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В началото на периода КПНПРЛ е провел първоначални проучвания на разпространението на вида, поради липса на финансиране те са прекратени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Осигуряване на средства за цялостно проучване и компенсиране на рибните производители за щетите, които им причинява вида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Осигуряване на финансови средства и държавна политика</w:t>
            </w:r>
          </w:p>
        </w:tc>
      </w:tr>
      <w:tr w:rsidR="000A0A26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4.2.1.9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Картиране на лалугеровите колонии и мерки за поддържане на числеността и хабитата им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За поддържане на популацията и осигуряване на биологични коридори е необходимо да се продължи поддържането на пасищата и ливадите в добро състояние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0A26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4.2.1.10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Проучване и възстановяване на гнездовите колонии на лешоядите в парка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НПО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Интензивното земеделие е една от основните причини за изчезването на вида в района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Подпомагане с 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реинтродукция</w:t>
            </w:r>
            <w:proofErr w:type="spellEnd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 на вида</w:t>
            </w:r>
          </w:p>
        </w:tc>
      </w:tr>
      <w:tr w:rsidR="000A0A26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4.2.1.11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Проследяване на динамиката на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числеността на Египетския лешояд (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Neophron</w:t>
            </w:r>
            <w:proofErr w:type="spellEnd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percnopterus</w:t>
            </w:r>
            <w:proofErr w:type="spellEnd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) и разработване на мерки за поддържане и опазването му на територията на Парка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ДППРЛ, НПО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736CF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0A26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4.2.1.12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Проучване влиянието на електрическите стълбове върху смъртността на птиците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Изолирани са 150 ел. стълба в границите и района на ПП Русенски Лом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0A26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4.2.1.13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Проучване за пещерите на територията на ПП Русенски Лом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Намерен е част от архива на 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пещернто</w:t>
            </w:r>
            <w:proofErr w:type="spellEnd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 дружество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Извършване картиране на по-значимите пещери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Осигуряване на средства за картирането</w:t>
            </w:r>
          </w:p>
        </w:tc>
      </w:tr>
      <w:tr w:rsidR="000A0A26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4.2.2.1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Style w:val="Exact"/>
                <w:rFonts w:ascii="Arial Narrow" w:hAnsi="Arial Narrow"/>
                <w:color w:val="000000"/>
                <w:spacing w:val="0"/>
                <w:sz w:val="20"/>
                <w:szCs w:val="20"/>
              </w:rPr>
              <w:t xml:space="preserve">Изграждане на </w:t>
            </w:r>
            <w:proofErr w:type="spellStart"/>
            <w:r w:rsidRPr="005315A0">
              <w:rPr>
                <w:rStyle w:val="Exact"/>
                <w:rFonts w:ascii="Arial Narrow" w:hAnsi="Arial Narrow"/>
                <w:color w:val="000000"/>
                <w:spacing w:val="0"/>
                <w:sz w:val="20"/>
                <w:szCs w:val="20"/>
              </w:rPr>
              <w:t>Посетителски</w:t>
            </w:r>
            <w:proofErr w:type="spellEnd"/>
            <w:r w:rsidRPr="005315A0">
              <w:rPr>
                <w:rStyle w:val="Exact"/>
                <w:rFonts w:ascii="Arial Narrow" w:hAnsi="Arial Narrow"/>
                <w:color w:val="000000"/>
                <w:spacing w:val="0"/>
                <w:sz w:val="20"/>
                <w:szCs w:val="20"/>
              </w:rPr>
              <w:t xml:space="preserve"> център за НАР Скални църкви край с. Иваново и ПП Русенски Лом на десния бряг на острова </w:t>
            </w:r>
            <w:r w:rsidRPr="005315A0">
              <w:rPr>
                <w:rStyle w:val="Exact1"/>
                <w:rFonts w:ascii="Arial Narrow" w:hAnsi="Arial Narrow"/>
                <w:color w:val="000000"/>
                <w:sz w:val="20"/>
                <w:szCs w:val="20"/>
              </w:rPr>
              <w:t>срещу Църквата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Областна администрация Русе и Община И</w:t>
            </w:r>
            <w:r w:rsidR="0094666C"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в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аново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2722E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26" w:rsidRPr="005315A0" w:rsidRDefault="000A0A26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4.2.2.2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Изграждане на 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Посетителски</w:t>
            </w:r>
            <w:proofErr w:type="spellEnd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 център за НАР Средновековен град Червен и ПП Русенски Лом разположен на острова при подхода към археологическия резерват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Областна администрация Русе и Община Иваново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Изграден е информационен център в с. Червен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Не са необходими действия за изграждане на 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посетителски</w:t>
            </w:r>
            <w:proofErr w:type="spellEnd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 център, а допълване функциите на информационния и осигуряване на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постоянен екскурзовод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РИМ Русе, ДППРЛ</w:t>
            </w: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4.2.2.3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Актуализация на РП за туристическа алея, свързваща НАР Скални църкви край с. Иваново и НАР Средновековен град Червен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4.2.2.4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Социализация на паметници на КИН по долината на р. Черни Лом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В района на Рай манастир е гнездо на египетски лешояд, за това социализацията му е не подходяща и това е причина да не се изпълни изцяло проекта.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774EA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Да се отклони туристическия поток от района на гнездата на египетски лешояд и черен щъркел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774EA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4.2.2.5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Възстановяване на местните традиции, обичаи, занаяти, кухня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774EA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Община Иваново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774EA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774EA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4.2.2.6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Style w:val="BodyTextChar"/>
                <w:rFonts w:ascii="Arial Narrow" w:hAnsi="Arial Narrow"/>
                <w:color w:val="000000"/>
                <w:sz w:val="20"/>
                <w:szCs w:val="20"/>
              </w:rPr>
              <w:t xml:space="preserve">Изследване на топонимията и управление на културния </w:t>
            </w: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ландшафт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774EA3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Направеното проучване е използвано в издадената туристическа карта, но е необходимо да се направи пълно описание на топонимите в природния парк, което да е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достъпно за всички интересуващи се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Печатно издание за топонимите в ППРЛ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Осигуряване на средства</w:t>
            </w: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4.2.2.7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Style w:val="BodyTextChar"/>
                <w:rFonts w:ascii="Arial Narrow" w:hAnsi="Arial Narrow"/>
                <w:color w:val="000000"/>
                <w:sz w:val="20"/>
                <w:szCs w:val="20"/>
              </w:rPr>
              <w:t>Подготовка и предложение за включване на ПП</w:t>
            </w:r>
            <w:r w:rsidR="00C41615" w:rsidRPr="005315A0">
              <w:rPr>
                <w:rStyle w:val="BodyTextChar"/>
                <w:rFonts w:ascii="Arial Narrow" w:hAnsi="Arial Narrow"/>
                <w:color w:val="000000"/>
                <w:sz w:val="20"/>
                <w:szCs w:val="20"/>
              </w:rPr>
              <w:t xml:space="preserve"> „</w:t>
            </w:r>
            <w:r w:rsidRPr="005315A0">
              <w:rPr>
                <w:rStyle w:val="BodyTextChar"/>
                <w:rFonts w:ascii="Arial Narrow" w:hAnsi="Arial Narrow"/>
                <w:color w:val="000000"/>
                <w:sz w:val="20"/>
                <w:szCs w:val="20"/>
              </w:rPr>
              <w:t xml:space="preserve">Русенски Лом” в Листата на обектите за природното наследство на Конвенцията за културно и </w:t>
            </w:r>
            <w:r w:rsidRPr="005315A0">
              <w:rPr>
                <w:rFonts w:ascii="Arial Narrow" w:hAnsi="Arial Narrow"/>
                <w:color w:val="000000"/>
                <w:sz w:val="20"/>
                <w:szCs w:val="20"/>
                <w:u w:val="single"/>
              </w:rPr>
              <w:t>природно наследство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ДППРЛ. МОСВ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Предложението е изготвено и внесено в МОСВ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Държавна подкрепа за включване на ППРЛ в листата на ЮНЕСКО</w:t>
            </w: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4.2.2.8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Style w:val="BodyTextChar"/>
                <w:rFonts w:ascii="Arial Narrow" w:hAnsi="Arial Narrow"/>
                <w:color w:val="000000"/>
                <w:sz w:val="20"/>
                <w:szCs w:val="20"/>
              </w:rPr>
              <w:t>Изготвяне на Генерална устройствена схема със специфични правила и нормативи за устойчиво развитие на културната, социално-икономическата и природната среда на Парка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Областна администрация Русе, ДППРЛ, Общини Иваново и Ветово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Изпълнението на проекта е действително необходимо, отлагането  му във времето се дължеше на липса на капацитет и желание от Областна администрация и организираност от ДППРЛ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Изпълнение на проекта през следващия програмен период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Осигуряване на средства</w:t>
            </w: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4.2.3.1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Институционално развитие на управленските функции на Дирекцията на ПП Русенски Лом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ИАГ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C41615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E601E4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Многократно </w:t>
            </w:r>
            <w:r w:rsidR="00C41615"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е поставя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н</w:t>
            </w:r>
            <w:r w:rsidR="00C41615"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 въпроса за  охраната на ППРЛ от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ДППР, въпреки правилника за функциите на ДПП, тази дейност не се разреши от ИАГ: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E601E4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Осигуряване на паркова охрана от структурата на ДППРЛ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E601E4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ИЗГ с осигуряване на средства</w:t>
            </w: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4.2.3.2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Обучение и материално- техническо обезпечаване на специализирана охрана за защитената територия и обектите на КИН в ПП Русенски Лом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ИАГ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Не е назначена охрана на ПП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Назначаване на паркова охрана, която периодично да бъде обучавана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ИАГ</w:t>
            </w: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4.2.4.1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Устройствен проект на ПП Русенски Лом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Областна администрация Русе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Липсата на средства са причина за неизпълнение на проекта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Устройване на цялата територия на Природния парк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Осигуряване на средства</w:t>
            </w: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4.2.4.2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Агроекологичен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проект за развитие на селскостопански дейности целящи опазване на околната среда на територията на ПП Русенски Лом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НПО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06164A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Проектът е много необходим, защото с неговата реализация ще се даде възможност за подпомагане на опазването на видовете и местообитанията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Осигуряване на средства за изпълнение на проекта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НПО</w:t>
            </w: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4.2.4.3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Насърчаване на производството и преработка на местни земеделски продукти с гарантиран произход и запазена марка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КПНПРЛ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4.2.4.4.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Определяне </w:t>
            </w: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прокарите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за водопой - Технически проект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Общини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Дългогодишното ползване на едни и същи 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прокари</w:t>
            </w:r>
            <w:proofErr w:type="spellEnd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 е довело до процеси на ерозия в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границите и в близост до ПП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Изготвяне на проект за 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прокарите</w:t>
            </w:r>
            <w:proofErr w:type="spellEnd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, при спазване на опазването на частната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собственост и периодичност на ползване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ДППРЛ и Общините и осигуряване на средства</w:t>
            </w: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4.2.5.1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Посетителски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център за ПП Русенски Лом в Нисово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4666C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4.2.5.2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Посетителски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център за ПП Русенски Лом в Писанец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Община Ветово и ДППРЛ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Изграден е информационен център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6C" w:rsidRPr="005315A0" w:rsidRDefault="0094666C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4.2.5.3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Посетителски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център за ПП Русенски Лом в Сваленик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КМЕТСТВО СВАЛЕНИК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Оформен  е информационен център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4.2.5.4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Информационни пунктове за ПП Русенски Лом в Кошов, Щръклево и Табачка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кметства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Изградени са информационни пунктове в Кошов, Щръклево и Табачка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4.2.5.5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Разработване на стратегия за връзки на ДПП” Русенски Лом” с обществеността.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4.2.5.6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Печатни агитационни и рекламни издания за ПП Русенски Лом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Необходимо е да се издават периодично материали за парка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4.2.5.7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Интернет сайт за ПП Русенски Лом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5315A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4.2.6.1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Обучение за разработване на екологични проекти, отговарящи на </w:t>
            </w: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изискванията на национални и международни програми за финансиране и изпълнение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5315A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Дейността трябва да се провежда периодично за да </w:t>
            </w: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има актуалност в получаваната информация и адекватност в новостите в обучението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4.2.6.2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Русенски младежки природозащитен център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КПНПРЛ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4.2.6.3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Познания за националните и природни паркове в България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Дейността трябва да се изпълнява периодично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4.2.6.4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Повишаване на екологичната култура и знанията за Парка на подрастващите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Дейността се изпълнява при работата с клубове в училищата и специализирани паралелки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4.2.7.1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Обучение на заетите в обслужването на селски и екотуризъм в селищата от прилежащите територии на ПП “Русенски Лом”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НПО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Периодично трябва да се провеждат обучения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4.2.7.2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Разработване на моделни бизнес-планове за отделни домакинства от селищата в прилежащите територии на </w:t>
            </w: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ПП”Русенски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Лом”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НПО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A100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Собствена инициатива на производителите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Работа със земеделските производители и насърчаване на биологичното производство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Осигуряване на средства</w:t>
            </w: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4.2.7.3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Курс за обучение на водачи за ПП Русенски Лом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НПО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1,3,5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5315A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4.2.7.4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Организиране на воден маршрут по р. Черни Лом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НПО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Маршрутът изисква ежегодно поддържане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4.2.7.5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Разработване на Бизнес-план за дейността на Дирекцията на ПП</w:t>
            </w:r>
            <w:r w:rsidR="00C07FF1"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”Русенски Лом”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Необходимо е периодично актуализиране на плана след отчитане на достигнатото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4.2.8.1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Опазване на водите - Комплексна програма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МОСВ/РИОСВ/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Басейнова</w:t>
            </w:r>
            <w:proofErr w:type="spellEnd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 дирекция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План за управление на речните басейни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4.2.8.2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Управление на отпадъците на територията на Парка и прилежащите територии с влияние върху неговите санитарно-хигиенни условия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Община Иваново и Ветово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Оскъпяването на извозването на отпадъците на регионалното депо, това е причина за изхвърляне на отпадъците на стари селски сметища или на други терени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Рекултивация на замърсените терени и санкциониране на нарушителите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Общини Иваново и Ветово и РИОСВ 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Русес</w:t>
            </w:r>
            <w:proofErr w:type="spellEnd"/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C07FF1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4.2.9.1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Мониторинг за биологичното разнообразие за приоритетни местообитания и видове.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НПО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Мониторингът трябва да се извършва ежегодно з да се проследява динамиката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lastRenderedPageBreak/>
              <w:t>4.2.9.2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Мониторинг по състоянието на горските екосистеми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ДППРЛ, ДДС-Дунав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Мониторингът трябва да се извършва ежегодно з да се проследява динамиката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5315A0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  <w:t>4.2.9.3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315A0">
              <w:rPr>
                <w:rFonts w:ascii="Arial Narrow" w:hAnsi="Arial Narrow"/>
                <w:sz w:val="20"/>
                <w:szCs w:val="20"/>
              </w:rPr>
              <w:t xml:space="preserve">Мониторинг върху резултатите от </w:t>
            </w:r>
            <w:proofErr w:type="spellStart"/>
            <w:r w:rsidRPr="005315A0">
              <w:rPr>
                <w:rFonts w:ascii="Arial Narrow" w:hAnsi="Arial Narrow"/>
                <w:sz w:val="20"/>
                <w:szCs w:val="20"/>
              </w:rPr>
              <w:t>агроекологичните</w:t>
            </w:r>
            <w:proofErr w:type="spellEnd"/>
            <w:r w:rsidRPr="005315A0">
              <w:rPr>
                <w:rFonts w:ascii="Arial Narrow" w:hAnsi="Arial Narrow"/>
                <w:sz w:val="20"/>
                <w:szCs w:val="20"/>
              </w:rPr>
              <w:t xml:space="preserve"> проекти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5315A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  <w:t>2,5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5315A0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4.2.9.4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Мониторинг върху състоянието на водите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РИОСВ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Периодичния планиран мониторинг е необходимо да продължи да бъде осъществяван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4A25EF" w:rsidRPr="005315A0" w:rsidTr="005315A0">
        <w:trPr>
          <w:trHeight w:val="24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4.2.9.5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Мониторинг за социално- икономически фактори. </w:t>
            </w:r>
            <w:proofErr w:type="spellStart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>Посетителски</w:t>
            </w:r>
            <w:proofErr w:type="spellEnd"/>
            <w:r w:rsidRPr="005315A0">
              <w:rPr>
                <w:rFonts w:ascii="Arial Narrow" w:hAnsi="Arial Narrow"/>
                <w:color w:val="000000"/>
                <w:sz w:val="20"/>
                <w:szCs w:val="20"/>
              </w:rPr>
              <w:t xml:space="preserve"> мониторинг. Мониторинг на конфликтите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ДППРЛ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4A25EF" w:rsidRPr="005315A0" w:rsidRDefault="004A25EF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Извършва се </w:t>
            </w:r>
            <w:proofErr w:type="spellStart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посетителски</w:t>
            </w:r>
            <w:proofErr w:type="spellEnd"/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 xml:space="preserve"> мониторинг и мониторинг на социално-икономическите фактори, но не е извършван до сега мониторинг на конфликтите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Да се продължава дейността с мониторинг и извърши мониторинга на конфликтите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EF" w:rsidRPr="005315A0" w:rsidRDefault="00E064EE" w:rsidP="005315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</w:pPr>
            <w:r w:rsidRPr="005315A0">
              <w:rPr>
                <w:rFonts w:ascii="Arial Narrow" w:eastAsia="Times New Roman" w:hAnsi="Arial Narrow" w:cs="Times New Roman"/>
                <w:snapToGrid w:val="0"/>
                <w:color w:val="000000"/>
                <w:sz w:val="20"/>
                <w:szCs w:val="20"/>
              </w:rPr>
              <w:t>Осигуряване на средства</w:t>
            </w:r>
          </w:p>
        </w:tc>
      </w:tr>
    </w:tbl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Arial"/>
          <w:sz w:val="18"/>
          <w:szCs w:val="18"/>
        </w:rPr>
      </w:pPr>
    </w:p>
    <w:p w:rsidR="005315A0" w:rsidRPr="005315A0" w:rsidRDefault="005315A0" w:rsidP="005315A0">
      <w:pPr>
        <w:spacing w:after="0" w:line="240" w:lineRule="auto"/>
        <w:rPr>
          <w:rFonts w:ascii="Arial Narrow" w:eastAsia="Times New Roman" w:hAnsi="Arial Narrow" w:cs="Times New Roman"/>
          <w:b/>
          <w:sz w:val="18"/>
          <w:szCs w:val="18"/>
          <w:u w:val="single"/>
        </w:rPr>
      </w:pPr>
      <w:r w:rsidRPr="005315A0">
        <w:rPr>
          <w:rFonts w:ascii="Arial Narrow" w:eastAsia="Times New Roman" w:hAnsi="Arial Narrow" w:cs="Times New Roman"/>
          <w:b/>
          <w:sz w:val="18"/>
          <w:szCs w:val="18"/>
          <w:u w:val="single"/>
        </w:rPr>
        <w:t>Указания за попълване на формата за отчет:</w:t>
      </w:r>
    </w:p>
    <w:p w:rsidR="005315A0" w:rsidRPr="005315A0" w:rsidRDefault="005315A0" w:rsidP="005315A0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b/>
          <w:sz w:val="18"/>
          <w:szCs w:val="18"/>
        </w:rPr>
        <w:t xml:space="preserve">Код </w:t>
      </w:r>
      <w:r w:rsidRPr="005315A0">
        <w:rPr>
          <w:rFonts w:ascii="Arial Narrow" w:eastAsia="Times New Roman" w:hAnsi="Arial Narrow" w:cs="Times New Roman"/>
          <w:sz w:val="18"/>
          <w:szCs w:val="18"/>
        </w:rPr>
        <w:t>– отговаря на номера на проекта/дейността от работния план в т.4.4. Когато се налага разбиване на дейностите на по-малки се добавя нов индекс по преценка на ДПП.</w:t>
      </w:r>
    </w:p>
    <w:p w:rsidR="005315A0" w:rsidRPr="005315A0" w:rsidRDefault="005315A0" w:rsidP="005315A0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b/>
          <w:sz w:val="18"/>
          <w:szCs w:val="18"/>
        </w:rPr>
        <w:t>П</w:t>
      </w:r>
      <w:r w:rsidRPr="005315A0">
        <w:rPr>
          <w:rFonts w:ascii="Arial Narrow" w:eastAsia="Times New Roman" w:hAnsi="Arial Narrow" w:cs="Times New Roman"/>
          <w:b/>
          <w:snapToGrid w:val="0"/>
          <w:color w:val="000000"/>
          <w:sz w:val="18"/>
          <w:szCs w:val="18"/>
        </w:rPr>
        <w:t>роект/Оперативна дейност</w:t>
      </w:r>
      <w:r w:rsidRPr="005315A0">
        <w:rPr>
          <w:rFonts w:ascii="Arial Narrow" w:eastAsia="Times New Roman" w:hAnsi="Arial Narrow" w:cs="Times New Roman"/>
          <w:sz w:val="18"/>
          <w:szCs w:val="18"/>
        </w:rPr>
        <w:t xml:space="preserve"> Наименованието на  конкретната задача</w:t>
      </w:r>
    </w:p>
    <w:p w:rsidR="005315A0" w:rsidRPr="005315A0" w:rsidRDefault="005315A0" w:rsidP="005315A0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b/>
          <w:snapToGrid w:val="0"/>
          <w:color w:val="000000"/>
          <w:sz w:val="18"/>
          <w:szCs w:val="18"/>
        </w:rPr>
        <w:t>Участници в задачата –</w:t>
      </w:r>
      <w:r w:rsidRPr="005315A0">
        <w:rPr>
          <w:rFonts w:ascii="Arial Narrow" w:eastAsia="Times New Roman" w:hAnsi="Arial Narrow" w:cs="Times New Roman"/>
          <w:snapToGrid w:val="0"/>
          <w:color w:val="000000"/>
          <w:sz w:val="18"/>
          <w:szCs w:val="18"/>
        </w:rPr>
        <w:t xml:space="preserve"> изброяват се изпълнителите и партньорите</w:t>
      </w:r>
    </w:p>
    <w:p w:rsidR="005315A0" w:rsidRPr="005315A0" w:rsidRDefault="005315A0" w:rsidP="005315A0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b/>
          <w:snapToGrid w:val="0"/>
          <w:color w:val="000000"/>
          <w:sz w:val="18"/>
          <w:szCs w:val="18"/>
        </w:rPr>
        <w:t>Срок</w:t>
      </w:r>
      <w:r w:rsidRPr="005315A0">
        <w:rPr>
          <w:rFonts w:ascii="Arial Narrow" w:eastAsia="Times New Roman" w:hAnsi="Arial Narrow" w:cs="Times New Roman"/>
          <w:snapToGrid w:val="0"/>
          <w:color w:val="000000"/>
          <w:sz w:val="18"/>
          <w:szCs w:val="18"/>
        </w:rPr>
        <w:t xml:space="preserve"> – определения с работния план или актуализиран, в случай, че при предишен отчет е показан пропуснат срок и в графа № 9 е препоръчано удължаване</w:t>
      </w:r>
    </w:p>
    <w:p w:rsidR="005315A0" w:rsidRPr="005315A0" w:rsidRDefault="005315A0" w:rsidP="005315A0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b/>
          <w:snapToGrid w:val="0"/>
          <w:color w:val="000000"/>
          <w:sz w:val="18"/>
          <w:szCs w:val="18"/>
        </w:rPr>
        <w:t xml:space="preserve">Оценка на изпълнението – </w:t>
      </w:r>
      <w:r w:rsidRPr="005315A0">
        <w:rPr>
          <w:rFonts w:ascii="Arial Narrow" w:eastAsia="Times New Roman" w:hAnsi="Arial Narrow" w:cs="Times New Roman"/>
          <w:snapToGrid w:val="0"/>
          <w:color w:val="000000"/>
          <w:sz w:val="18"/>
          <w:szCs w:val="18"/>
        </w:rPr>
        <w:t>Посочва се състоянието на проекта при последния представен отчет</w:t>
      </w:r>
      <w:r w:rsidRPr="005315A0">
        <w:rPr>
          <w:rFonts w:ascii="Arial Narrow" w:eastAsia="Times New Roman" w:hAnsi="Arial Narrow" w:cs="Times New Roman"/>
          <w:b/>
          <w:snapToGrid w:val="0"/>
          <w:color w:val="000000"/>
          <w:sz w:val="18"/>
          <w:szCs w:val="18"/>
        </w:rPr>
        <w:t xml:space="preserve"> </w:t>
      </w:r>
    </w:p>
    <w:p w:rsidR="005315A0" w:rsidRPr="005315A0" w:rsidRDefault="005315A0" w:rsidP="005315A0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b/>
          <w:snapToGrid w:val="0"/>
          <w:color w:val="000000"/>
          <w:sz w:val="18"/>
          <w:szCs w:val="18"/>
        </w:rPr>
        <w:t>Оценка на изпълнението</w:t>
      </w:r>
      <w:r w:rsidRPr="005315A0">
        <w:rPr>
          <w:rFonts w:ascii="Arial Narrow" w:eastAsia="Times New Roman" w:hAnsi="Arial Narrow" w:cs="Times New Roman"/>
          <w:snapToGrid w:val="0"/>
          <w:color w:val="000000"/>
          <w:sz w:val="18"/>
          <w:szCs w:val="18"/>
        </w:rPr>
        <w:t xml:space="preserve"> – Посочва се състоянието на проекта в момента на отчитането</w:t>
      </w:r>
      <w:r w:rsidRPr="005315A0">
        <w:rPr>
          <w:rFonts w:ascii="Arial Narrow" w:eastAsia="Times New Roman" w:hAnsi="Arial Narrow" w:cs="Times New Roman"/>
          <w:b/>
          <w:snapToGrid w:val="0"/>
          <w:color w:val="000000"/>
          <w:sz w:val="18"/>
          <w:szCs w:val="18"/>
        </w:rPr>
        <w:t xml:space="preserve"> </w:t>
      </w:r>
    </w:p>
    <w:p w:rsidR="005315A0" w:rsidRPr="005315A0" w:rsidRDefault="005315A0" w:rsidP="005315A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napToGrid w:val="0"/>
          <w:color w:val="000000"/>
          <w:sz w:val="18"/>
          <w:szCs w:val="18"/>
        </w:rPr>
      </w:pPr>
    </w:p>
    <w:p w:rsidR="005315A0" w:rsidRPr="005315A0" w:rsidRDefault="005315A0" w:rsidP="005315A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snapToGrid w:val="0"/>
          <w:color w:val="000000"/>
          <w:sz w:val="18"/>
          <w:szCs w:val="18"/>
        </w:rPr>
        <w:t>В</w:t>
      </w:r>
      <w:r w:rsidRPr="005315A0">
        <w:rPr>
          <w:rFonts w:ascii="Arial Narrow" w:eastAsia="Times New Roman" w:hAnsi="Arial Narrow" w:cs="Times New Roman"/>
          <w:sz w:val="18"/>
          <w:szCs w:val="18"/>
        </w:rPr>
        <w:t xml:space="preserve"> случай, че проектът не е завършен се пристъпва към попълване на останалите графи:</w:t>
      </w:r>
    </w:p>
    <w:p w:rsidR="005315A0" w:rsidRPr="005315A0" w:rsidRDefault="005315A0" w:rsidP="005315A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:rsidR="005315A0" w:rsidRPr="005315A0" w:rsidRDefault="005315A0" w:rsidP="005315A0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b/>
          <w:snapToGrid w:val="0"/>
          <w:color w:val="000000"/>
          <w:sz w:val="18"/>
          <w:szCs w:val="18"/>
        </w:rPr>
        <w:t xml:space="preserve">% на изпълнение на задачата </w:t>
      </w:r>
      <w:r w:rsidRPr="005315A0">
        <w:rPr>
          <w:rFonts w:ascii="Arial Narrow" w:eastAsia="Times New Roman" w:hAnsi="Arial Narrow" w:cs="Times New Roman"/>
          <w:snapToGrid w:val="0"/>
          <w:color w:val="000000"/>
          <w:sz w:val="18"/>
          <w:szCs w:val="18"/>
        </w:rPr>
        <w:t>– отчита се експертно на база обем, време и средства</w:t>
      </w:r>
    </w:p>
    <w:p w:rsidR="005315A0" w:rsidRPr="005315A0" w:rsidRDefault="005315A0" w:rsidP="005315A0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b/>
          <w:sz w:val="18"/>
          <w:szCs w:val="18"/>
        </w:rPr>
        <w:t xml:space="preserve">Проблеми – </w:t>
      </w:r>
      <w:r w:rsidRPr="005315A0">
        <w:rPr>
          <w:rFonts w:ascii="Arial Narrow" w:eastAsia="Times New Roman" w:hAnsi="Arial Narrow" w:cs="Times New Roman"/>
          <w:sz w:val="18"/>
          <w:szCs w:val="18"/>
        </w:rPr>
        <w:t>описват се възникналите проблеми, които пречат задачата да бъде изпълнена в  срок и с нужното качество</w:t>
      </w:r>
    </w:p>
    <w:p w:rsidR="005315A0" w:rsidRPr="005315A0" w:rsidRDefault="005315A0" w:rsidP="005315A0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b/>
          <w:sz w:val="18"/>
          <w:szCs w:val="18"/>
        </w:rPr>
        <w:t xml:space="preserve">Действия за решаване на проблема – </w:t>
      </w:r>
      <w:r w:rsidRPr="005315A0">
        <w:rPr>
          <w:rFonts w:ascii="Arial Narrow" w:eastAsia="Times New Roman" w:hAnsi="Arial Narrow" w:cs="Times New Roman"/>
          <w:sz w:val="18"/>
          <w:szCs w:val="18"/>
        </w:rPr>
        <w:t>В зависимост от характера на проблемите</w:t>
      </w:r>
      <w:r w:rsidRPr="005315A0">
        <w:rPr>
          <w:rFonts w:ascii="Arial Narrow" w:eastAsia="Times New Roman" w:hAnsi="Arial Narrow" w:cs="Times New Roman"/>
          <w:b/>
          <w:sz w:val="18"/>
          <w:szCs w:val="18"/>
        </w:rPr>
        <w:t xml:space="preserve"> </w:t>
      </w:r>
      <w:r w:rsidRPr="005315A0">
        <w:rPr>
          <w:rFonts w:ascii="Arial Narrow" w:eastAsia="Times New Roman" w:hAnsi="Arial Narrow" w:cs="Times New Roman"/>
          <w:sz w:val="18"/>
          <w:szCs w:val="18"/>
        </w:rPr>
        <w:t>се провеждат и протоколират консултации с експерти, консултативен или научен съвет и др. Одобряването на дейностите става от Директора.</w:t>
      </w:r>
    </w:p>
    <w:p w:rsidR="005315A0" w:rsidRPr="005315A0" w:rsidRDefault="005315A0" w:rsidP="005315A0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b/>
          <w:sz w:val="18"/>
          <w:szCs w:val="18"/>
        </w:rPr>
        <w:t>От какво/кого зависи</w:t>
      </w:r>
      <w:r w:rsidRPr="005315A0">
        <w:rPr>
          <w:rFonts w:ascii="Arial Narrow" w:eastAsia="Times New Roman" w:hAnsi="Arial Narrow" w:cs="Times New Roman"/>
          <w:sz w:val="18"/>
          <w:szCs w:val="18"/>
        </w:rPr>
        <w:t xml:space="preserve"> – Определят се зависимости на различни нива с цел решаване на проблемите.</w:t>
      </w:r>
    </w:p>
    <w:p w:rsidR="005315A0" w:rsidRPr="005315A0" w:rsidRDefault="005315A0" w:rsidP="005315A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8"/>
          <w:szCs w:val="18"/>
        </w:rPr>
      </w:pPr>
    </w:p>
    <w:p w:rsidR="005315A0" w:rsidRPr="005315A0" w:rsidRDefault="005315A0" w:rsidP="005315A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5315A0">
        <w:rPr>
          <w:rFonts w:ascii="Arial Narrow" w:eastAsia="Times New Roman" w:hAnsi="Arial Narrow" w:cs="Times New Roman"/>
          <w:sz w:val="18"/>
          <w:szCs w:val="18"/>
        </w:rPr>
        <w:t>След попълване на графи от 7 до 10 се определя схема за действие за следващ отчетен период.</w:t>
      </w:r>
    </w:p>
    <w:p w:rsidR="005315A0" w:rsidRPr="005315A0" w:rsidRDefault="005315A0" w:rsidP="005315A0">
      <w:pPr>
        <w:spacing w:after="0" w:line="240" w:lineRule="auto"/>
        <w:rPr>
          <w:rFonts w:ascii="Arial Narrow" w:eastAsia="Times New Roman" w:hAnsi="Arial Narrow" w:cs="Arial"/>
          <w:sz w:val="18"/>
          <w:szCs w:val="18"/>
        </w:rPr>
      </w:pPr>
    </w:p>
    <w:p w:rsidR="005315A0" w:rsidRPr="005315A0" w:rsidRDefault="005315A0" w:rsidP="005315A0">
      <w:pPr>
        <w:spacing w:after="0" w:line="240" w:lineRule="auto"/>
        <w:rPr>
          <w:rFonts w:ascii="Arial Narrow" w:eastAsia="Times New Roman" w:hAnsi="Arial Narrow" w:cs="Arial"/>
          <w:sz w:val="18"/>
          <w:szCs w:val="18"/>
        </w:rPr>
      </w:pPr>
    </w:p>
    <w:p w:rsidR="005315A0" w:rsidRPr="005315A0" w:rsidRDefault="005315A0" w:rsidP="005315A0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18"/>
          <w:szCs w:val="18"/>
        </w:rPr>
      </w:pPr>
      <w:r w:rsidRPr="005315A0">
        <w:rPr>
          <w:rFonts w:ascii="Arial Narrow" w:eastAsia="Times New Roman" w:hAnsi="Arial Narrow" w:cs="Arial"/>
          <w:b/>
          <w:bCs/>
          <w:sz w:val="18"/>
          <w:szCs w:val="18"/>
        </w:rPr>
        <w:t>Критерии за оценка на изпълнението:</w:t>
      </w:r>
    </w:p>
    <w:p w:rsidR="005315A0" w:rsidRPr="005315A0" w:rsidRDefault="005315A0" w:rsidP="005315A0">
      <w:pPr>
        <w:spacing w:after="0" w:line="240" w:lineRule="auto"/>
        <w:rPr>
          <w:rFonts w:ascii="Arial Narrow" w:eastAsia="Times New Roman" w:hAnsi="Arial Narrow" w:cs="Arial"/>
          <w:sz w:val="18"/>
          <w:szCs w:val="1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4680"/>
      </w:tblGrid>
      <w:tr w:rsidR="005315A0" w:rsidRPr="005315A0" w:rsidTr="003E396C">
        <w:trPr>
          <w:trHeight w:val="2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FF00"/>
          </w:tcPr>
          <w:p w:rsidR="005315A0" w:rsidRPr="005315A0" w:rsidRDefault="005315A0" w:rsidP="003E396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15A0" w:rsidRPr="005315A0" w:rsidRDefault="005315A0" w:rsidP="003E396C">
            <w:pPr>
              <w:spacing w:after="0" w:line="240" w:lineRule="auto"/>
              <w:rPr>
                <w:rFonts w:ascii="Arial Narrow" w:eastAsia="Times New Roman" w:hAnsi="Arial Narrow" w:cs="Arial"/>
                <w:snapToGrid w:val="0"/>
                <w:color w:val="000000"/>
                <w:sz w:val="18"/>
                <w:szCs w:val="18"/>
              </w:rPr>
            </w:pPr>
            <w:r w:rsidRPr="005315A0">
              <w:rPr>
                <w:rFonts w:ascii="Arial Narrow" w:eastAsia="Times New Roman" w:hAnsi="Arial Narrow" w:cs="Arial"/>
                <w:sz w:val="18"/>
                <w:szCs w:val="18"/>
              </w:rPr>
              <w:t xml:space="preserve">Работи се по задачата </w:t>
            </w:r>
          </w:p>
        </w:tc>
      </w:tr>
      <w:tr w:rsidR="005315A0" w:rsidRPr="005315A0" w:rsidTr="003E396C">
        <w:trPr>
          <w:trHeight w:val="2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5315A0" w:rsidRPr="005315A0" w:rsidRDefault="005315A0" w:rsidP="003E396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15A0" w:rsidRPr="005315A0" w:rsidRDefault="005315A0" w:rsidP="003E396C">
            <w:pPr>
              <w:spacing w:after="0" w:line="240" w:lineRule="auto"/>
              <w:rPr>
                <w:rFonts w:ascii="Arial Narrow" w:eastAsia="Times New Roman" w:hAnsi="Arial Narrow" w:cs="Arial"/>
                <w:snapToGrid w:val="0"/>
                <w:color w:val="000000"/>
                <w:sz w:val="18"/>
                <w:szCs w:val="18"/>
              </w:rPr>
            </w:pPr>
            <w:r w:rsidRPr="005315A0">
              <w:rPr>
                <w:rFonts w:ascii="Arial Narrow" w:eastAsia="Times New Roman" w:hAnsi="Arial Narrow" w:cs="Arial"/>
                <w:sz w:val="18"/>
                <w:szCs w:val="18"/>
              </w:rPr>
              <w:t>Задачата е приключена</w:t>
            </w:r>
          </w:p>
        </w:tc>
      </w:tr>
      <w:tr w:rsidR="005315A0" w:rsidRPr="005315A0" w:rsidTr="003E396C">
        <w:trPr>
          <w:trHeight w:val="2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5315A0" w:rsidRPr="005315A0" w:rsidRDefault="005315A0" w:rsidP="003E396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A0" w:rsidRPr="005315A0" w:rsidRDefault="005315A0" w:rsidP="003E396C">
            <w:pPr>
              <w:spacing w:after="0" w:line="240" w:lineRule="auto"/>
              <w:rPr>
                <w:rFonts w:ascii="Arial Narrow" w:eastAsia="Times New Roman" w:hAnsi="Arial Narrow" w:cs="Arial"/>
                <w:snapToGrid w:val="0"/>
                <w:color w:val="000000"/>
                <w:sz w:val="18"/>
                <w:szCs w:val="18"/>
              </w:rPr>
            </w:pPr>
            <w:r w:rsidRPr="005315A0">
              <w:rPr>
                <w:rFonts w:ascii="Arial Narrow" w:eastAsia="Times New Roman" w:hAnsi="Arial Narrow" w:cs="Arial"/>
                <w:sz w:val="18"/>
                <w:szCs w:val="18"/>
              </w:rPr>
              <w:t>Има опасност задачата да не се приключи в срок</w:t>
            </w:r>
          </w:p>
        </w:tc>
      </w:tr>
      <w:tr w:rsidR="005315A0" w:rsidRPr="005315A0" w:rsidTr="003E396C">
        <w:trPr>
          <w:trHeight w:val="2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315A0" w:rsidRPr="005315A0" w:rsidRDefault="005315A0" w:rsidP="003E396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15A0" w:rsidRPr="005315A0" w:rsidRDefault="005315A0" w:rsidP="003E396C">
            <w:pPr>
              <w:spacing w:after="0" w:line="240" w:lineRule="auto"/>
              <w:rPr>
                <w:rFonts w:ascii="Arial Narrow" w:eastAsia="Times New Roman" w:hAnsi="Arial Narrow" w:cs="Arial"/>
                <w:snapToGrid w:val="0"/>
                <w:color w:val="000000"/>
                <w:sz w:val="18"/>
                <w:szCs w:val="18"/>
              </w:rPr>
            </w:pPr>
            <w:r w:rsidRPr="005315A0">
              <w:rPr>
                <w:rFonts w:ascii="Arial Narrow" w:eastAsia="Times New Roman" w:hAnsi="Arial Narrow" w:cs="Arial"/>
                <w:sz w:val="18"/>
                <w:szCs w:val="18"/>
              </w:rPr>
              <w:t>Срокът е пропуснат</w:t>
            </w:r>
          </w:p>
        </w:tc>
      </w:tr>
    </w:tbl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Arial"/>
          <w:sz w:val="18"/>
          <w:szCs w:val="18"/>
        </w:rPr>
      </w:pPr>
      <w:r w:rsidRPr="005315A0">
        <w:rPr>
          <w:rFonts w:ascii="Arial Narrow" w:eastAsia="Times New Roman" w:hAnsi="Arial Narrow" w:cs="Arial"/>
          <w:sz w:val="18"/>
          <w:szCs w:val="18"/>
        </w:rPr>
        <w:t>На базата на посочените критерии се определят дейности и задачи за следващия период.</w:t>
      </w: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Arial"/>
          <w:sz w:val="18"/>
          <w:szCs w:val="18"/>
        </w:rPr>
        <w:sectPr w:rsidR="00CC4A52" w:rsidRPr="005315A0" w:rsidSect="00C07FF1">
          <w:footerReference w:type="even" r:id="rId8"/>
          <w:footerReference w:type="default" r:id="rId9"/>
          <w:type w:val="oddPage"/>
          <w:pgSz w:w="15840" w:h="12240" w:orient="landscape" w:code="1"/>
          <w:pgMar w:top="1800" w:right="1440" w:bottom="1800" w:left="1440" w:header="708" w:footer="708" w:gutter="0"/>
          <w:pgNumType w:start="210" w:chapStyle="1"/>
          <w:cols w:space="708"/>
        </w:sectPr>
      </w:pPr>
      <w:r w:rsidRPr="005315A0">
        <w:rPr>
          <w:rFonts w:ascii="Arial Narrow" w:eastAsia="Times New Roman" w:hAnsi="Arial Narrow" w:cs="Arial"/>
          <w:sz w:val="18"/>
          <w:szCs w:val="18"/>
        </w:rPr>
        <w:t>Предложената схема е удобна за отчети в електронен вариант и не се налага използването и на други форми за контрол.</w:t>
      </w:r>
    </w:p>
    <w:p w:rsidR="00CC4A52" w:rsidRPr="005315A0" w:rsidRDefault="00CC4A52" w:rsidP="00CC4A52">
      <w:pPr>
        <w:spacing w:after="0" w:line="240" w:lineRule="auto"/>
        <w:ind w:left="360"/>
        <w:jc w:val="both"/>
        <w:rPr>
          <w:rFonts w:ascii="Arial Narrow" w:eastAsia="Times New Roman" w:hAnsi="Arial Narrow" w:cs="Arial"/>
          <w:sz w:val="20"/>
          <w:szCs w:val="20"/>
        </w:rPr>
      </w:pP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CC4A52" w:rsidRPr="005315A0" w:rsidRDefault="00CC4A52" w:rsidP="00CC4A52">
      <w:pPr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CC4A52" w:rsidRPr="005315A0" w:rsidRDefault="00CC4A52" w:rsidP="00CC4A52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</w:p>
    <w:p w:rsidR="0008428F" w:rsidRPr="005315A0" w:rsidRDefault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08428F" w:rsidRPr="005315A0" w:rsidRDefault="0008428F" w:rsidP="0008428F">
      <w:pPr>
        <w:rPr>
          <w:rFonts w:ascii="Arial Narrow" w:hAnsi="Arial Narrow"/>
          <w:sz w:val="20"/>
          <w:szCs w:val="20"/>
        </w:rPr>
      </w:pPr>
    </w:p>
    <w:p w:rsidR="00455C32" w:rsidRPr="005315A0" w:rsidRDefault="0008428F" w:rsidP="0008428F">
      <w:pPr>
        <w:tabs>
          <w:tab w:val="left" w:pos="2196"/>
        </w:tabs>
        <w:rPr>
          <w:rFonts w:ascii="Arial Narrow" w:hAnsi="Arial Narrow"/>
          <w:sz w:val="20"/>
          <w:szCs w:val="20"/>
        </w:rPr>
      </w:pPr>
      <w:r w:rsidRPr="005315A0">
        <w:rPr>
          <w:rFonts w:ascii="Arial Narrow" w:hAnsi="Arial Narrow"/>
          <w:sz w:val="20"/>
          <w:szCs w:val="20"/>
        </w:rPr>
        <w:tab/>
      </w:r>
    </w:p>
    <w:sectPr w:rsidR="00455C32" w:rsidRPr="005315A0" w:rsidSect="00C07FF1">
      <w:pgSz w:w="12240" w:h="15840"/>
      <w:pgMar w:top="1440" w:right="1888" w:bottom="1440" w:left="152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53D" w:rsidRDefault="00E0753D">
      <w:pPr>
        <w:spacing w:after="0" w:line="240" w:lineRule="auto"/>
      </w:pPr>
      <w:r>
        <w:separator/>
      </w:r>
    </w:p>
  </w:endnote>
  <w:endnote w:type="continuationSeparator" w:id="0">
    <w:p w:rsidR="00E0753D" w:rsidRDefault="00E0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FF1" w:rsidRDefault="00C07FF1" w:rsidP="00C07F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7FF1" w:rsidRDefault="00C07FF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F4B" w:rsidRPr="00543F4B" w:rsidRDefault="00543F4B" w:rsidP="00543F4B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543F4B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:rsidR="00543F4B" w:rsidRPr="00543F4B" w:rsidRDefault="00543F4B" w:rsidP="00543F4B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543F4B">
      <w:rPr>
        <w:rFonts w:ascii="Garamond" w:eastAsia="Times New Roman" w:hAnsi="Garamond" w:cs="Cambria"/>
        <w:lang w:eastAsia="bg-BG"/>
      </w:rPr>
      <w:t>Приложения</w:t>
    </w:r>
  </w:p>
  <w:p w:rsidR="00543F4B" w:rsidRDefault="00543F4B">
    <w:pPr>
      <w:pStyle w:val="Footer"/>
    </w:pPr>
  </w:p>
  <w:p w:rsidR="00C07FF1" w:rsidRPr="00E04C1E" w:rsidRDefault="00C07FF1">
    <w:pPr>
      <w:pStyle w:val="Footer"/>
      <w:ind w:right="360"/>
      <w:rPr>
        <w:i/>
        <w:color w:val="333333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53D" w:rsidRDefault="00E0753D">
      <w:pPr>
        <w:spacing w:after="0" w:line="240" w:lineRule="auto"/>
      </w:pPr>
      <w:r>
        <w:separator/>
      </w:r>
    </w:p>
  </w:footnote>
  <w:footnote w:type="continuationSeparator" w:id="0">
    <w:p w:rsidR="00E0753D" w:rsidRDefault="00E07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01A1"/>
    <w:multiLevelType w:val="hybridMultilevel"/>
    <w:tmpl w:val="60C01AA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545939"/>
    <w:multiLevelType w:val="hybridMultilevel"/>
    <w:tmpl w:val="3A30BC4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56220"/>
    <w:multiLevelType w:val="hybridMultilevel"/>
    <w:tmpl w:val="0FB4C9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C2487"/>
    <w:multiLevelType w:val="hybridMultilevel"/>
    <w:tmpl w:val="EB0828B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66FBA"/>
    <w:multiLevelType w:val="hybridMultilevel"/>
    <w:tmpl w:val="F6500026"/>
    <w:lvl w:ilvl="0" w:tplc="08090003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C6167"/>
    <w:multiLevelType w:val="hybridMultilevel"/>
    <w:tmpl w:val="D6C0FC9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93484"/>
    <w:multiLevelType w:val="hybridMultilevel"/>
    <w:tmpl w:val="7278FF6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00751"/>
    <w:multiLevelType w:val="hybridMultilevel"/>
    <w:tmpl w:val="3C781330"/>
    <w:lvl w:ilvl="0" w:tplc="0809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937CDF"/>
    <w:multiLevelType w:val="hybridMultilevel"/>
    <w:tmpl w:val="9E50D1FA"/>
    <w:lvl w:ilvl="0" w:tplc="FFFFFFFF">
      <w:start w:val="1"/>
      <w:numFmt w:val="bullet"/>
      <w:lvlText w:val=""/>
      <w:lvlJc w:val="left"/>
      <w:pPr>
        <w:tabs>
          <w:tab w:val="num" w:pos="1994"/>
        </w:tabs>
        <w:ind w:left="1994" w:hanging="1634"/>
      </w:pPr>
      <w:rPr>
        <w:rFonts w:ascii="Wingdings" w:hAnsi="Wingdings" w:hint="default"/>
        <w:b/>
        <w:i w:val="0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E758D"/>
    <w:multiLevelType w:val="multilevel"/>
    <w:tmpl w:val="E09448F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1C693077"/>
    <w:multiLevelType w:val="hybridMultilevel"/>
    <w:tmpl w:val="E1DC623E"/>
    <w:lvl w:ilvl="0" w:tplc="5EF67AC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67ACD"/>
    <w:multiLevelType w:val="hybridMultilevel"/>
    <w:tmpl w:val="66623DBA"/>
    <w:lvl w:ilvl="0" w:tplc="08090003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A41C7"/>
    <w:multiLevelType w:val="hybridMultilevel"/>
    <w:tmpl w:val="3864BDC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05E44"/>
    <w:multiLevelType w:val="hybridMultilevel"/>
    <w:tmpl w:val="57747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149BA"/>
    <w:multiLevelType w:val="hybridMultilevel"/>
    <w:tmpl w:val="D05AAB5A"/>
    <w:lvl w:ilvl="0" w:tplc="502AB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7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9A5723"/>
    <w:multiLevelType w:val="hybridMultilevel"/>
    <w:tmpl w:val="293E762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F1A27"/>
    <w:multiLevelType w:val="hybridMultilevel"/>
    <w:tmpl w:val="11D2FB30"/>
    <w:lvl w:ilvl="0" w:tplc="FFFFFFFF">
      <w:start w:val="1"/>
      <w:numFmt w:val="bullet"/>
      <w:lvlText w:val="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AE6874"/>
    <w:multiLevelType w:val="hybridMultilevel"/>
    <w:tmpl w:val="DFEC114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442360"/>
    <w:multiLevelType w:val="hybridMultilevel"/>
    <w:tmpl w:val="E05813A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92E1C"/>
    <w:multiLevelType w:val="hybridMultilevel"/>
    <w:tmpl w:val="39828BAA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E00638"/>
    <w:multiLevelType w:val="hybridMultilevel"/>
    <w:tmpl w:val="94D2BA96"/>
    <w:lvl w:ilvl="0" w:tplc="FFFFFFFF">
      <w:start w:val="1"/>
      <w:numFmt w:val="bullet"/>
      <w:lvlText w:val="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12E65"/>
    <w:multiLevelType w:val="hybridMultilevel"/>
    <w:tmpl w:val="23EA288C"/>
    <w:lvl w:ilvl="0" w:tplc="6C3A49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521CA"/>
    <w:multiLevelType w:val="hybridMultilevel"/>
    <w:tmpl w:val="E4DA1B8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31627"/>
    <w:multiLevelType w:val="hybridMultilevel"/>
    <w:tmpl w:val="066CC18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6C82931"/>
    <w:multiLevelType w:val="hybridMultilevel"/>
    <w:tmpl w:val="24C02190"/>
    <w:lvl w:ilvl="0" w:tplc="B22CDF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A0F04"/>
    <w:multiLevelType w:val="hybridMultilevel"/>
    <w:tmpl w:val="7F3E13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6"/>
  </w:num>
  <w:num w:numId="5">
    <w:abstractNumId w:val="20"/>
  </w:num>
  <w:num w:numId="6">
    <w:abstractNumId w:val="11"/>
  </w:num>
  <w:num w:numId="7">
    <w:abstractNumId w:val="18"/>
  </w:num>
  <w:num w:numId="8">
    <w:abstractNumId w:val="1"/>
  </w:num>
  <w:num w:numId="9">
    <w:abstractNumId w:val="21"/>
  </w:num>
  <w:num w:numId="10">
    <w:abstractNumId w:val="6"/>
  </w:num>
  <w:num w:numId="11">
    <w:abstractNumId w:val="24"/>
  </w:num>
  <w:num w:numId="12">
    <w:abstractNumId w:val="7"/>
  </w:num>
  <w:num w:numId="13">
    <w:abstractNumId w:val="25"/>
  </w:num>
  <w:num w:numId="14">
    <w:abstractNumId w:val="15"/>
  </w:num>
  <w:num w:numId="15">
    <w:abstractNumId w:val="5"/>
  </w:num>
  <w:num w:numId="16">
    <w:abstractNumId w:val="4"/>
  </w:num>
  <w:num w:numId="17">
    <w:abstractNumId w:val="19"/>
  </w:num>
  <w:num w:numId="18">
    <w:abstractNumId w:val="17"/>
  </w:num>
  <w:num w:numId="19">
    <w:abstractNumId w:val="0"/>
  </w:num>
  <w:num w:numId="20">
    <w:abstractNumId w:val="13"/>
  </w:num>
  <w:num w:numId="21">
    <w:abstractNumId w:val="12"/>
  </w:num>
  <w:num w:numId="22">
    <w:abstractNumId w:val="10"/>
  </w:num>
  <w:num w:numId="23">
    <w:abstractNumId w:val="22"/>
  </w:num>
  <w:num w:numId="24">
    <w:abstractNumId w:val="23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C51"/>
    <w:rsid w:val="000111EE"/>
    <w:rsid w:val="00042B00"/>
    <w:rsid w:val="00054845"/>
    <w:rsid w:val="0006164A"/>
    <w:rsid w:val="000668D3"/>
    <w:rsid w:val="000839B0"/>
    <w:rsid w:val="0008428F"/>
    <w:rsid w:val="000A0A26"/>
    <w:rsid w:val="000D402E"/>
    <w:rsid w:val="000E6CF8"/>
    <w:rsid w:val="001A0702"/>
    <w:rsid w:val="001A321E"/>
    <w:rsid w:val="001A711A"/>
    <w:rsid w:val="001D6773"/>
    <w:rsid w:val="001F7F09"/>
    <w:rsid w:val="00201C51"/>
    <w:rsid w:val="002722E0"/>
    <w:rsid w:val="002B5542"/>
    <w:rsid w:val="002E3225"/>
    <w:rsid w:val="003336DC"/>
    <w:rsid w:val="00380EA3"/>
    <w:rsid w:val="00381D8C"/>
    <w:rsid w:val="003B05AD"/>
    <w:rsid w:val="003F251F"/>
    <w:rsid w:val="00454613"/>
    <w:rsid w:val="00455C32"/>
    <w:rsid w:val="00496F33"/>
    <w:rsid w:val="004A25EF"/>
    <w:rsid w:val="00501096"/>
    <w:rsid w:val="0050676A"/>
    <w:rsid w:val="0051564D"/>
    <w:rsid w:val="005315A0"/>
    <w:rsid w:val="005439E4"/>
    <w:rsid w:val="00543F4B"/>
    <w:rsid w:val="00546019"/>
    <w:rsid w:val="005715BF"/>
    <w:rsid w:val="00606205"/>
    <w:rsid w:val="00672414"/>
    <w:rsid w:val="00672827"/>
    <w:rsid w:val="00681061"/>
    <w:rsid w:val="0069729A"/>
    <w:rsid w:val="00736CF3"/>
    <w:rsid w:val="00765D84"/>
    <w:rsid w:val="00774EA3"/>
    <w:rsid w:val="007B11E9"/>
    <w:rsid w:val="007E3720"/>
    <w:rsid w:val="00846861"/>
    <w:rsid w:val="00891FBC"/>
    <w:rsid w:val="008A5E16"/>
    <w:rsid w:val="008B0396"/>
    <w:rsid w:val="008C3C9F"/>
    <w:rsid w:val="008F0C73"/>
    <w:rsid w:val="0094666C"/>
    <w:rsid w:val="00954138"/>
    <w:rsid w:val="00956C8C"/>
    <w:rsid w:val="00A12756"/>
    <w:rsid w:val="00A3709D"/>
    <w:rsid w:val="00A40BA9"/>
    <w:rsid w:val="00A7523D"/>
    <w:rsid w:val="00A83AE1"/>
    <w:rsid w:val="00A86C7B"/>
    <w:rsid w:val="00A90556"/>
    <w:rsid w:val="00AA3130"/>
    <w:rsid w:val="00B04763"/>
    <w:rsid w:val="00C07FF1"/>
    <w:rsid w:val="00C20A28"/>
    <w:rsid w:val="00C35691"/>
    <w:rsid w:val="00C41615"/>
    <w:rsid w:val="00CA100E"/>
    <w:rsid w:val="00CC4A52"/>
    <w:rsid w:val="00DE210D"/>
    <w:rsid w:val="00E064EE"/>
    <w:rsid w:val="00E0753D"/>
    <w:rsid w:val="00E601E4"/>
    <w:rsid w:val="00E75F18"/>
    <w:rsid w:val="00EB7B1D"/>
    <w:rsid w:val="00F15925"/>
    <w:rsid w:val="00F24C6A"/>
    <w:rsid w:val="00F44F0E"/>
    <w:rsid w:val="00FC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489D62-DE58-469B-86F9-84B8E9B4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A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A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C4A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C4A52"/>
  </w:style>
  <w:style w:type="paragraph" w:styleId="BodyText3">
    <w:name w:val="Body Text 3"/>
    <w:basedOn w:val="Normal"/>
    <w:link w:val="BodyText3Char"/>
    <w:uiPriority w:val="99"/>
    <w:semiHidden/>
    <w:unhideWhenUsed/>
    <w:rsid w:val="00CC4A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C4A52"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C4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A52"/>
  </w:style>
  <w:style w:type="character" w:styleId="PageNumber">
    <w:name w:val="page number"/>
    <w:basedOn w:val="DefaultParagraphFont"/>
    <w:rsid w:val="00CC4A52"/>
  </w:style>
  <w:style w:type="paragraph" w:styleId="ListParagraph">
    <w:name w:val="List Paragraph"/>
    <w:basedOn w:val="Normal"/>
    <w:uiPriority w:val="34"/>
    <w:qFormat/>
    <w:rsid w:val="00496F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6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7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7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7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42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28F"/>
  </w:style>
  <w:style w:type="character" w:customStyle="1" w:styleId="BodyTextChar">
    <w:name w:val="Body Text Char"/>
    <w:basedOn w:val="DefaultParagraphFont"/>
    <w:link w:val="BodyText"/>
    <w:uiPriority w:val="99"/>
    <w:locked/>
    <w:rsid w:val="00606205"/>
    <w:rPr>
      <w:rFonts w:ascii="Times New Roman" w:hAnsi="Times New Roman" w:cs="Times New Roman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606205"/>
    <w:pPr>
      <w:widowControl w:val="0"/>
      <w:shd w:val="clear" w:color="auto" w:fill="FFFFFF"/>
      <w:spacing w:before="360" w:after="0" w:line="277" w:lineRule="exact"/>
      <w:ind w:hanging="720"/>
      <w:jc w:val="both"/>
    </w:pPr>
    <w:rPr>
      <w:rFonts w:ascii="Times New Roman" w:hAnsi="Times New Roman" w:cs="Times New Roman"/>
    </w:rPr>
  </w:style>
  <w:style w:type="character" w:customStyle="1" w:styleId="a">
    <w:name w:val="Основен текст Знак"/>
    <w:basedOn w:val="DefaultParagraphFont"/>
    <w:uiPriority w:val="99"/>
    <w:semiHidden/>
    <w:rsid w:val="00606205"/>
  </w:style>
  <w:style w:type="character" w:customStyle="1" w:styleId="2">
    <w:name w:val="Основен текст + Курсив2"/>
    <w:basedOn w:val="BodyTextChar"/>
    <w:uiPriority w:val="99"/>
    <w:rsid w:val="00606205"/>
    <w:rPr>
      <w:rFonts w:ascii="Times New Roman" w:hAnsi="Times New Roman" w:cs="Times New Roman"/>
      <w:i/>
      <w:iCs/>
      <w:shd w:val="clear" w:color="auto" w:fill="FFFFFF"/>
      <w:lang w:val="en-US" w:eastAsia="en-US"/>
    </w:rPr>
  </w:style>
  <w:style w:type="character" w:customStyle="1" w:styleId="Exact">
    <w:name w:val="Основен текст Exact"/>
    <w:basedOn w:val="DefaultParagraphFont"/>
    <w:uiPriority w:val="99"/>
    <w:rsid w:val="00606205"/>
    <w:rPr>
      <w:rFonts w:ascii="Times New Roman" w:hAnsi="Times New Roman" w:cs="Times New Roman"/>
      <w:spacing w:val="7"/>
      <w:sz w:val="21"/>
      <w:szCs w:val="21"/>
      <w:u w:val="none"/>
    </w:rPr>
  </w:style>
  <w:style w:type="character" w:customStyle="1" w:styleId="Exact1">
    <w:name w:val="Основен текст Exact1"/>
    <w:basedOn w:val="BodyTextChar"/>
    <w:uiPriority w:val="99"/>
    <w:rsid w:val="00606205"/>
    <w:rPr>
      <w:rFonts w:ascii="Times New Roman" w:hAnsi="Times New Roman" w:cs="Times New Roman"/>
      <w:spacing w:val="7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BFC5B-F879-4879-9986-5C01755C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2050</Words>
  <Characters>11687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Lyudmila Dimitrova</cp:lastModifiedBy>
  <cp:revision>5</cp:revision>
  <dcterms:created xsi:type="dcterms:W3CDTF">2019-08-09T06:04:00Z</dcterms:created>
  <dcterms:modified xsi:type="dcterms:W3CDTF">2020-03-20T06:29:00Z</dcterms:modified>
</cp:coreProperties>
</file>